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6C6F96"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#116bis</w:t>
      </w:r>
      <w:r w:rsidR="008D17D0" w:rsidRPr="00A16DF9">
        <w:rPr>
          <w:rFonts w:cs="Arial"/>
          <w:b/>
          <w:i/>
          <w:sz w:val="22"/>
          <w:lang w:val="en-US"/>
        </w:rPr>
        <w:tab/>
      </w:r>
      <w:r w:rsidR="005B3B9E">
        <w:rPr>
          <w:rFonts w:cs="Arial"/>
          <w:b/>
          <w:i/>
          <w:sz w:val="22"/>
          <w:lang w:val="en-US"/>
        </w:rPr>
        <w:t>R2-22</w:t>
      </w:r>
      <w:r w:rsidR="00301FF2">
        <w:rPr>
          <w:rFonts w:cs="Arial"/>
          <w:b/>
          <w:i/>
          <w:sz w:val="22"/>
          <w:lang w:val="en-US" w:eastAsia="zh-CN"/>
        </w:rPr>
        <w:t>00262</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6C6F96">
        <w:rPr>
          <w:rFonts w:cs="Arial"/>
          <w:b/>
          <w:sz w:val="22"/>
          <w:szCs w:val="22"/>
          <w:lang w:val="en-US"/>
        </w:rPr>
        <w:t>Jan.</w:t>
      </w:r>
      <w:bookmarkStart w:id="4" w:name="_GoBack"/>
      <w:bookmarkEnd w:id="4"/>
      <w:r w:rsidR="005B3B9E">
        <w:rPr>
          <w:rFonts w:cs="Arial"/>
          <w:b/>
          <w:sz w:val="22"/>
          <w:szCs w:val="22"/>
          <w:lang w:val="en-US"/>
        </w:rPr>
        <w:t xml:space="preserve"> 2022</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550170">
        <w:rPr>
          <w:sz w:val="22"/>
          <w:szCs w:val="22"/>
        </w:rPr>
        <w:t>8.18.2</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1239DB">
        <w:rPr>
          <w:sz w:val="22"/>
          <w:szCs w:val="22"/>
        </w:rPr>
        <w:t>MAC aspects of RACH partition</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5" w:name="_Ref488331639"/>
      <w:r>
        <w:t>Introduction</w:t>
      </w:r>
      <w:bookmarkEnd w:id="5"/>
    </w:p>
    <w:p w:rsidR="008874AD" w:rsidRDefault="00817399" w:rsidP="008D17D0">
      <w:pPr>
        <w:pStyle w:val="a7"/>
        <w:spacing w:before="120"/>
      </w:pPr>
      <w:r>
        <w:t>There are few</w:t>
      </w:r>
      <w:r w:rsidR="00550170">
        <w:t xml:space="preserve"> </w:t>
      </w:r>
      <w:r w:rsidR="00550170">
        <w:rPr>
          <w:rFonts w:hint="eastAsia"/>
        </w:rPr>
        <w:t>open</w:t>
      </w:r>
      <w:r>
        <w:t xml:space="preserve"> issues left after email discussion </w:t>
      </w:r>
      <w:r w:rsidRPr="00817399">
        <w:t>[Post116-e][515][RACH partitioning] MAC Procedure aspects (ZTE)</w:t>
      </w:r>
      <w:r>
        <w:t xml:space="preserve">. </w:t>
      </w:r>
    </w:p>
    <w:p w:rsidR="00D40785" w:rsidRDefault="00D40785" w:rsidP="00D40785">
      <w:pPr>
        <w:pStyle w:val="1"/>
      </w:pPr>
      <w:r>
        <w:rPr>
          <w:rFonts w:hint="eastAsia"/>
        </w:rPr>
        <w:t>D</w:t>
      </w:r>
      <w:r>
        <w:t>iscussion</w:t>
      </w:r>
    </w:p>
    <w:p w:rsidR="00D40785" w:rsidRDefault="00344733" w:rsidP="00D40785">
      <w:r>
        <w:t>For RACH partition selection issue it is likely that UE can’t find a RACH partition matching the triggered feature/feature combination completely. When one feature is not configured by network, UE will not trigger RACH procedure for it assuming Rel17 features will be optional ones. But still it is possible that network only doesn’t configure full set of potential RACH partition. For example 4 features can be supported in Rel17 for RACH partition (for simplicity reason, let’s call them as A, B,C,D). And for some reason feature D is not enabled in network. In this case UE will never trigger RACH for feature D even it is capable of it. For the feature A, B,C, assuming network configure RACH partition for feature/feature combination such as {A,B,C,A+B} while one UE is capable feature A and C. In this case when RACH is triggered for A and C, there is no problem. But when RACH is triggered for A+C, then UE can’t find the right RACH partition since it is not configured by network.</w:t>
      </w:r>
    </w:p>
    <w:p w:rsidR="00344733" w:rsidRPr="005B4CE8" w:rsidRDefault="00344733" w:rsidP="00D40785">
      <w:pPr>
        <w:rPr>
          <w:b/>
        </w:rPr>
      </w:pPr>
      <w:r w:rsidRPr="005B4CE8">
        <w:rPr>
          <w:b/>
        </w:rPr>
        <w:t>Observation: UE can’t find right RACH partition when triggered RACH partition for triggered feature/feature combination is not configured.</w:t>
      </w:r>
    </w:p>
    <w:p w:rsidR="00344733" w:rsidRDefault="00344733" w:rsidP="00421DC9">
      <w:r>
        <w:t>There are 3 options during the email discussion as following:</w:t>
      </w:r>
    </w:p>
    <w:p w:rsidR="00DF008E" w:rsidRDefault="00421DC9" w:rsidP="00DF008E">
      <w:pPr>
        <w:spacing w:beforeLines="50" w:before="120"/>
      </w:pPr>
      <w:r>
        <w:rPr>
          <w:noProof/>
          <w:lang w:val="en-US"/>
        </w:rPr>
        <mc:AlternateContent>
          <mc:Choice Requires="wps">
            <w:drawing>
              <wp:inline distT="0" distB="0" distL="0" distR="0">
                <wp:extent cx="6110046" cy="6362876"/>
                <wp:effectExtent l="0" t="0" r="2413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0046" cy="6362876"/>
                        </a:xfrm>
                        <a:prstGeom prst="rect">
                          <a:avLst/>
                        </a:prstGeom>
                        <a:solidFill>
                          <a:srgbClr val="FFFF00">
                            <a:alpha val="19000"/>
                          </a:srgbClr>
                        </a:solidFill>
                        <a:ln w="9525">
                          <a:solidFill>
                            <a:srgbClr val="000000"/>
                          </a:solidFill>
                          <a:prstDash val="dash"/>
                          <a:miter lim="800000"/>
                          <a:headEnd/>
                          <a:tailEnd/>
                        </a:ln>
                      </wps:spPr>
                      <wps:txbx>
                        <w:txbxContent>
                          <w:p w:rsidR="008E16A1" w:rsidRDefault="008E16A1" w:rsidP="00421DC9">
                            <w:r>
                              <w:rPr>
                                <w:b/>
                                <w:bCs/>
                                <w:u w:val="single"/>
                              </w:rPr>
                              <w:t>Option 1:</w:t>
                            </w:r>
                            <w:r>
                              <w:t xml:space="preserve"> it is up to UE implementation to select the RACH partition that matches UE’s preference based on implementation</w:t>
                            </w:r>
                          </w:p>
                          <w:p w:rsidR="008E16A1" w:rsidRDefault="008E16A1" w:rsidP="00421DC9">
                            <w:pPr>
                              <w:pStyle w:val="ac"/>
                              <w:numPr>
                                <w:ilvl w:val="0"/>
                                <w:numId w:val="37"/>
                              </w:numPr>
                              <w:overflowPunct/>
                              <w:autoSpaceDE/>
                              <w:autoSpaceDN/>
                              <w:adjustRightInd/>
                              <w:spacing w:after="160" w:line="259" w:lineRule="auto"/>
                              <w:ind w:firstLineChars="0"/>
                              <w:contextualSpacing/>
                              <w:textAlignment w:val="auto"/>
                            </w:pPr>
                            <w:r>
                              <w:t xml:space="preserve">The consequence of this is that if there is no suitable Rel-17 RACH partition satisfying the triggered RACH feature combination, then the UE may choose any other RACH partition (this may even include other Rel-17 RACH partition that suits a subset of the features that triggered the RACH). How the UE chooses this subset is not specified (and left to UE implementation) </w:t>
                            </w:r>
                          </w:p>
                          <w:p w:rsidR="008E16A1" w:rsidRDefault="008E16A1" w:rsidP="00421DC9">
                            <w:r>
                              <w:rPr>
                                <w:b/>
                                <w:bCs/>
                                <w:u w:val="single"/>
                              </w:rPr>
                              <w:t>Option 2:</w:t>
                            </w:r>
                            <w:r>
                              <w:t xml:space="preserve"> the UE selects legacy RACH resource</w:t>
                            </w:r>
                          </w:p>
                          <w:p w:rsidR="008E16A1" w:rsidRDefault="008E16A1" w:rsidP="00421DC9">
                            <w:pPr>
                              <w:pStyle w:val="ac"/>
                              <w:numPr>
                                <w:ilvl w:val="0"/>
                                <w:numId w:val="37"/>
                              </w:numPr>
                              <w:overflowPunct/>
                              <w:autoSpaceDE/>
                              <w:autoSpaceDN/>
                              <w:adjustRightInd/>
                              <w:spacing w:after="160" w:line="259" w:lineRule="auto"/>
                              <w:ind w:firstLineChars="0"/>
                              <w:contextualSpacing/>
                              <w:textAlignment w:val="auto"/>
                            </w:pPr>
                            <w:r>
                              <w:t>The consequence of this is that if there is no suitable Rel-17 RACH partition satisfying the triggered RACH feature combination, then UE will not select any other Rel-17 partition (even if that partition may indicate a subset of features that triggered the RACH procedure)</w:t>
                            </w:r>
                          </w:p>
                          <w:p w:rsidR="008E16A1" w:rsidRDefault="008E16A1" w:rsidP="00421DC9">
                            <w:r>
                              <w:rPr>
                                <w:b/>
                                <w:bCs/>
                                <w:u w:val="single"/>
                              </w:rPr>
                              <w:t>Option 3:</w:t>
                            </w:r>
                            <w:r>
                              <w:t xml:space="preserve"> we specify a set of rules based on which the UE shall select another RACH partition</w:t>
                            </w:r>
                          </w:p>
                          <w:p w:rsidR="008E16A1" w:rsidRDefault="008E16A1" w:rsidP="00421DC9">
                            <w:pPr>
                              <w:pStyle w:val="ac"/>
                              <w:numPr>
                                <w:ilvl w:val="0"/>
                                <w:numId w:val="37"/>
                              </w:numPr>
                              <w:overflowPunct/>
                              <w:autoSpaceDE/>
                              <w:autoSpaceDN/>
                              <w:adjustRightInd/>
                              <w:spacing w:after="160" w:line="259" w:lineRule="auto"/>
                              <w:ind w:firstLineChars="0"/>
                              <w:contextualSpacing/>
                              <w:textAlignment w:val="auto"/>
                            </w:pPr>
                            <w:r>
                              <w:t>The consequence of this is that we need to specify clear priority rules that the UE shall follow in determining a fallback subset (if the feature set combination is not available)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1pt;height:5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" fillcolor="yellow">
                <v:fill opacity="12336f"/>
                <v:stroke dashstyle="dash"/>
                <v:textbox style="mso-fit-shape-to-text:t">
                  <w:txbxContent>
                    <w:p w:rsidR="008E16A1" w:rsidRDefault="008E16A1" w:rsidP="00421DC9">
                      <w:r>
                        <w:rPr>
                          <w:b/>
                          <w:bCs/>
                          <w:u w:val="single"/>
                        </w:rPr>
                        <w:t>Option 1:</w:t>
                      </w:r>
                      <w:r>
                        <w:t xml:space="preserve"> it is up to UE implementation to select the RACH partition that matches UE’s preference based on implementation</w:t>
                      </w:r>
                    </w:p>
                    <w:p w:rsidR="008E16A1" w:rsidRDefault="008E16A1" w:rsidP="00421DC9">
                      <w:pPr>
                        <w:pStyle w:val="ac"/>
                        <w:numPr>
                          <w:ilvl w:val="0"/>
                          <w:numId w:val="37"/>
                        </w:numPr>
                        <w:overflowPunct/>
                        <w:autoSpaceDE/>
                        <w:autoSpaceDN/>
                        <w:adjustRightInd/>
                        <w:spacing w:after="160" w:line="259" w:lineRule="auto"/>
                        <w:ind w:firstLineChars="0"/>
                        <w:contextualSpacing/>
                        <w:textAlignment w:val="auto"/>
                      </w:pPr>
                      <w:r>
                        <w:t xml:space="preserve">The consequence of this is that if there is no suitable Rel-17 RACH partition satisfying the triggered RACH feature combination, then the UE may choose any other RACH partition (this may even include other Rel-17 RACH partition that suits a subset of the features that triggered the RACH). How the UE chooses this subset is not specified (and left to UE implementation) </w:t>
                      </w:r>
                    </w:p>
                    <w:p w:rsidR="008E16A1" w:rsidRDefault="008E16A1" w:rsidP="00421DC9">
                      <w:r>
                        <w:rPr>
                          <w:b/>
                          <w:bCs/>
                          <w:u w:val="single"/>
                        </w:rPr>
                        <w:t>Option 2:</w:t>
                      </w:r>
                      <w:r>
                        <w:t xml:space="preserve"> the UE selects legacy RACH resource</w:t>
                      </w:r>
                    </w:p>
                    <w:p w:rsidR="008E16A1" w:rsidRDefault="008E16A1" w:rsidP="00421DC9">
                      <w:pPr>
                        <w:pStyle w:val="ac"/>
                        <w:numPr>
                          <w:ilvl w:val="0"/>
                          <w:numId w:val="37"/>
                        </w:numPr>
                        <w:overflowPunct/>
                        <w:autoSpaceDE/>
                        <w:autoSpaceDN/>
                        <w:adjustRightInd/>
                        <w:spacing w:after="160" w:line="259" w:lineRule="auto"/>
                        <w:ind w:firstLineChars="0"/>
                        <w:contextualSpacing/>
                        <w:textAlignment w:val="auto"/>
                      </w:pPr>
                      <w:r>
                        <w:t>The consequence of this is that if there is no suitable Rel-17 RACH partition satisfying the triggered RACH feature combination, then UE will not select any other Rel-17 partition (even if that partition may indicate a subset of features that triggered the RACH procedure)</w:t>
                      </w:r>
                    </w:p>
                    <w:p w:rsidR="008E16A1" w:rsidRDefault="008E16A1" w:rsidP="00421DC9">
                      <w:r>
                        <w:rPr>
                          <w:b/>
                          <w:bCs/>
                          <w:u w:val="single"/>
                        </w:rPr>
                        <w:t>Option 3:</w:t>
                      </w:r>
                      <w:r>
                        <w:t xml:space="preserve"> we specify a set of rules based on which the UE shall select another RACH partition</w:t>
                      </w:r>
                    </w:p>
                    <w:p w:rsidR="008E16A1" w:rsidRDefault="008E16A1" w:rsidP="00421DC9">
                      <w:pPr>
                        <w:pStyle w:val="ac"/>
                        <w:numPr>
                          <w:ilvl w:val="0"/>
                          <w:numId w:val="37"/>
                        </w:numPr>
                        <w:overflowPunct/>
                        <w:autoSpaceDE/>
                        <w:autoSpaceDN/>
                        <w:adjustRightInd/>
                        <w:spacing w:after="160" w:line="259" w:lineRule="auto"/>
                        <w:ind w:firstLineChars="0"/>
                        <w:contextualSpacing/>
                        <w:textAlignment w:val="auto"/>
                      </w:pPr>
                      <w:r>
                        <w:t>The consequence of this is that we need to specify clear priority rules that the UE shall follow in determining a fallback subset (if the feature set combination is not available)</w:t>
                      </w:r>
                    </w:p>
                  </w:txbxContent>
                </v:textbox>
                <w10:anchorlock/>
              </v:shape>
            </w:pict>
          </mc:Fallback>
        </mc:AlternateContent>
      </w:r>
      <w:r w:rsidR="00DF008E">
        <w:rPr>
          <w:rFonts w:hint="eastAsia"/>
        </w:rPr>
        <w:t>A</w:t>
      </w:r>
      <w:r w:rsidR="00DF008E">
        <w:t xml:space="preserve">s moderator points out purely UE’s implementation may result in some unexpected consequence. One sensible alternative-1 is that UE can try to find a RACH partition which associated feature/feature combination is sub-set of the triggered feature/feature combination. How to pick any valid RACH partition meeting above condition can be left UE’s implementation.  </w:t>
      </w:r>
    </w:p>
    <w:p w:rsidR="00DF008E" w:rsidRDefault="00DF008E" w:rsidP="00D40785">
      <w:r>
        <w:lastRenderedPageBreak/>
        <w:t>Alternative-2 is to define a rule on the prioritization</w:t>
      </w:r>
      <w:r w:rsidR="005B4CE8">
        <w:t xml:space="preserve"> </w:t>
      </w:r>
      <w:r w:rsidR="005B4CE8">
        <w:rPr>
          <w:rFonts w:hint="eastAsia"/>
        </w:rPr>
        <w:t>procedure</w:t>
      </w:r>
      <w:r w:rsidR="005B4CE8">
        <w:t xml:space="preserve"> </w:t>
      </w:r>
      <w:r w:rsidR="005B4CE8">
        <w:rPr>
          <w:rFonts w:hint="eastAsia"/>
        </w:rPr>
        <w:t>i.e.</w:t>
      </w:r>
      <w:r w:rsidR="005B4CE8">
        <w:t xml:space="preserve"> without involving detail priority of feature/feature combination</w:t>
      </w:r>
      <w:r>
        <w:t>, but leave the prioritization of the feature to be configurable</w:t>
      </w:r>
    </w:p>
    <w:p w:rsidR="00DF008E" w:rsidRDefault="00DF008E" w:rsidP="00D40785">
      <w:r>
        <w:t>Alternative-3 is to define the prioritization of the RACH partition(s) meeting above condition</w:t>
      </w:r>
    </w:p>
    <w:p w:rsidR="00DF008E" w:rsidRDefault="00DF008E" w:rsidP="00D40785">
      <w:r>
        <w:rPr>
          <w:rFonts w:hint="eastAsia"/>
        </w:rPr>
        <w:t>F</w:t>
      </w:r>
      <w:r>
        <w:t>or all of the 3 alternatives</w:t>
      </w:r>
      <w:r w:rsidR="0073794B">
        <w:t>,</w:t>
      </w:r>
      <w:r>
        <w:t xml:space="preserve"> option2</w:t>
      </w:r>
      <w:r w:rsidR="0073794B">
        <w:t xml:space="preserve"> from moderator</w:t>
      </w:r>
      <w:r>
        <w:t xml:space="preserve"> is always the last resort i.e. when no any potential RACH partitions meeting above condition, then UE selects legacy RACH resource.</w:t>
      </w:r>
    </w:p>
    <w:p w:rsidR="00DF008E" w:rsidRDefault="004C5D98" w:rsidP="00D40785">
      <w:r w:rsidRPr="00683E7D">
        <w:t xml:space="preserve">We think alternative2 and 3 </w:t>
      </w:r>
      <w:r w:rsidR="000979DD">
        <w:t xml:space="preserve">will </w:t>
      </w:r>
      <w:r w:rsidRPr="00683E7D">
        <w:t>invite more spec work</w:t>
      </w:r>
      <w:r w:rsidR="00666B74" w:rsidRPr="00683E7D">
        <w:t xml:space="preserve">. </w:t>
      </w:r>
      <w:r w:rsidR="0008143B" w:rsidRPr="00683E7D">
        <w:t>One of the problem is that all the Rel17 features are optional i.e. UE may support sub-set of the configured feature/feature combination</w:t>
      </w:r>
      <w:r w:rsidR="000979DD">
        <w:t>. In our paper [1</w:t>
      </w:r>
      <w:r w:rsidR="00683E7D">
        <w:t xml:space="preserve">] we suggest UE should understand all RACH partition configuration associated to a feature even it can’t support. But it goes too far away to enforce UE to understand more e.g. </w:t>
      </w:r>
      <w:r w:rsidR="00AD5C79">
        <w:t xml:space="preserve">partition </w:t>
      </w:r>
      <w:r w:rsidR="00683E7D">
        <w:t>selection rule or prioritization involving feature/feature combination it doesn’t support.</w:t>
      </w:r>
      <w:r w:rsidR="00EF44D5">
        <w:t xml:space="preserve"> Another problem is that when more feature/feature combinations are introduced in later release, it is also difficult to keep backward compatibility.</w:t>
      </w:r>
    </w:p>
    <w:p w:rsidR="00666B74" w:rsidRPr="006B70D2" w:rsidRDefault="00666B74" w:rsidP="00D40785">
      <w:pPr>
        <w:rPr>
          <w:b/>
        </w:rPr>
      </w:pPr>
      <w:r w:rsidRPr="006B70D2">
        <w:rPr>
          <w:b/>
        </w:rPr>
        <w:t xml:space="preserve">Proposal1: UE should choose a RACH partition which associated with the triggered feature or feature combination. </w:t>
      </w:r>
    </w:p>
    <w:p w:rsidR="00666B74" w:rsidRPr="006B70D2" w:rsidRDefault="00666B74" w:rsidP="00D40785">
      <w:pPr>
        <w:rPr>
          <w:b/>
        </w:rPr>
      </w:pPr>
      <w:r w:rsidRPr="006B70D2">
        <w:rPr>
          <w:b/>
        </w:rPr>
        <w:t>Proposal1a: if UE can’t find the RACH partition matching its triggered feature or feature combination, UE is allowed to choose any RACH partition matching sub-set of its triggered feature or feature combination. How to pick is up to UE’s implementation</w:t>
      </w:r>
    </w:p>
    <w:p w:rsidR="00666B74" w:rsidRPr="006B70D2" w:rsidRDefault="00666B74" w:rsidP="00D40785">
      <w:pPr>
        <w:rPr>
          <w:b/>
        </w:rPr>
      </w:pPr>
      <w:r w:rsidRPr="006B70D2">
        <w:rPr>
          <w:b/>
        </w:rPr>
        <w:t>Proposal1b: if UE can’t find any RACH partition based on proposal1/1a, UE choose legacy RACH resource.</w:t>
      </w:r>
    </w:p>
    <w:p w:rsidR="006B70D2" w:rsidRDefault="006B70D2" w:rsidP="00D40785">
      <w:r>
        <w:t>The carrier selection between SUL and NUL is mainly based on the measured RSRP. RAN2 agreed in #115 following principle:</w:t>
      </w:r>
    </w:p>
    <w:p w:rsidR="006B70D2" w:rsidRDefault="006B70D2" w:rsidP="00D40785">
      <w:r>
        <w:rPr>
          <w:noProof/>
          <w:lang w:val="en-US"/>
        </w:rPr>
        <mc:AlternateContent>
          <mc:Choice Requires="wps">
            <w:drawing>
              <wp:inline distT="0" distB="0" distL="0" distR="0">
                <wp:extent cx="6067908" cy="1404620"/>
                <wp:effectExtent l="0" t="0" r="28575"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908" cy="1404620"/>
                        </a:xfrm>
                        <a:prstGeom prst="rect">
                          <a:avLst/>
                        </a:prstGeom>
                        <a:solidFill>
                          <a:srgbClr val="FFC000">
                            <a:alpha val="17000"/>
                          </a:srgbClr>
                        </a:solidFill>
                        <a:ln w="9525">
                          <a:solidFill>
                            <a:srgbClr val="000000"/>
                          </a:solidFill>
                          <a:prstDash val="dash"/>
                          <a:miter lim="800000"/>
                          <a:headEnd/>
                          <a:tailEnd/>
                        </a:ln>
                      </wps:spPr>
                      <wps:txbx>
                        <w:txbxContent>
                          <w:p w:rsidR="008E16A1" w:rsidRDefault="008E16A1" w:rsidP="006B70D2">
                            <w:pPr>
                              <w:pStyle w:val="Doc-text2"/>
                              <w:ind w:left="363"/>
                            </w:pPr>
                            <w:r>
                              <w:t xml:space="preserve">As a baseline, the RA procedure design for Rel-17 should adhere to the following general principles: </w:t>
                            </w:r>
                          </w:p>
                          <w:p w:rsidR="008E16A1" w:rsidRDefault="008E16A1" w:rsidP="006B70D2">
                            <w:pPr>
                              <w:pStyle w:val="Doc-text2"/>
                              <w:ind w:left="726"/>
                            </w:pPr>
                            <w:r>
                              <w:t xml:space="preserve">a: Carrier selection (between NUL/SUL) should happen ahead of the initial RACH resource selection (i.e. feature combination is not considered in carrier selection).   </w:t>
                            </w:r>
                          </w:p>
                        </w:txbxContent>
                      </wps:txbx>
                      <wps:bodyPr rot="0" vert="horz" wrap="square" lIns="91440" tIns="45720" rIns="91440" bIns="45720" anchor="t" anchorCtr="0">
                        <a:spAutoFit/>
                      </wps:bodyPr>
                    </wps:wsp>
                  </a:graphicData>
                </a:graphic>
              </wp:inline>
            </w:drawing>
          </mc:Choice>
          <mc:Fallback>
            <w:pict>
              <v:shape id="_x0000_s1027"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" fillcolor="#ffc000">
                <v:fill opacity="11051f"/>
                <v:stroke dashstyle="dash"/>
                <v:textbox style="mso-fit-shape-to-text:t">
                  <w:txbxContent>
                    <w:p w:rsidR="008E16A1" w:rsidRDefault="008E16A1" w:rsidP="006B70D2">
                      <w:pPr>
                        <w:pStyle w:val="Doc-text2"/>
                        <w:ind w:left="363"/>
                      </w:pPr>
                      <w:r>
                        <w:t xml:space="preserve">As a baseline, the RA procedure design for Rel-17 should adhere to the following general principles: </w:t>
                      </w:r>
                    </w:p>
                    <w:p w:rsidR="008E16A1" w:rsidRDefault="008E16A1" w:rsidP="006B70D2">
                      <w:pPr>
                        <w:pStyle w:val="Doc-text2"/>
                        <w:ind w:left="726"/>
                      </w:pPr>
                      <w:r>
                        <w:t xml:space="preserve">a: Carrier selection (between NUL/SUL) should happen ahead of the initial RACH resource selection (i.e. feature combination is not considered in carrier selection).   </w:t>
                      </w:r>
                    </w:p>
                  </w:txbxContent>
                </v:textbox>
                <w10:anchorlock/>
              </v:shape>
            </w:pict>
          </mc:Fallback>
        </mc:AlternateContent>
      </w:r>
    </w:p>
    <w:p w:rsidR="006B70D2" w:rsidRDefault="006B70D2" w:rsidP="00D40785">
      <w:r>
        <w:t>But SDT WID introduced a SDT specific RSRP threshold in RAN2#113bis meeting:</w:t>
      </w:r>
    </w:p>
    <w:p w:rsidR="006B70D2" w:rsidRDefault="006B70D2" w:rsidP="00D40785">
      <w:r>
        <w:rPr>
          <w:noProof/>
          <w:lang w:val="en-US"/>
        </w:rPr>
        <mc:AlternateContent>
          <mc:Choice Requires="wps">
            <w:drawing>
              <wp:inline distT="0" distB="0" distL="0" distR="0" wp14:anchorId="57624F21" wp14:editId="71828C29">
                <wp:extent cx="6067908" cy="1404620"/>
                <wp:effectExtent l="0" t="0" r="2857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908" cy="1404620"/>
                        </a:xfrm>
                        <a:prstGeom prst="rect">
                          <a:avLst/>
                        </a:prstGeom>
                        <a:solidFill>
                          <a:srgbClr val="FFC000">
                            <a:alpha val="17000"/>
                          </a:srgbClr>
                        </a:solidFill>
                        <a:ln w="9525">
                          <a:solidFill>
                            <a:srgbClr val="000000"/>
                          </a:solidFill>
                          <a:prstDash val="dash"/>
                          <a:miter lim="800000"/>
                          <a:headEnd/>
                          <a:tailEnd/>
                        </a:ln>
                      </wps:spPr>
                      <wps:txbx>
                        <w:txbxContent>
                          <w:p w:rsidR="008E16A1" w:rsidRPr="006B70D2" w:rsidRDefault="008E16A1" w:rsidP="006B70D2">
                            <w:pPr>
                              <w:pStyle w:val="Doc-text2"/>
                              <w:numPr>
                                <w:ilvl w:val="0"/>
                                <w:numId w:val="17"/>
                              </w:numPr>
                              <w:tabs>
                                <w:tab w:val="clear" w:pos="1622"/>
                                <w:tab w:val="left" w:pos="526"/>
                              </w:tabs>
                              <w:ind w:left="796" w:hanging="376"/>
                              <w:rPr>
                                <w:lang w:val="en-US"/>
                              </w:rPr>
                            </w:pPr>
                            <w:r w:rsidRPr="00426A9D">
                              <w:rPr>
                                <w:lang w:val="en-US"/>
                              </w:rPr>
                              <w:t xml:space="preserve">RSRP threshold for carrier selection is specific to SDT (i.e. separately configured for SDT).  This is optional for the network.  </w:t>
                            </w:r>
                            <w:r>
                              <w:t xml:space="preserve">  </w:t>
                            </w:r>
                          </w:p>
                        </w:txbxContent>
                      </wps:txbx>
                      <wps:bodyPr rot="0" vert="horz" wrap="square" lIns="91440" tIns="45720" rIns="91440" bIns="45720" anchor="t" anchorCtr="0">
                        <a:spAutoFit/>
                      </wps:bodyPr>
                    </wps:wsp>
                  </a:graphicData>
                </a:graphic>
              </wp:inline>
            </w:drawing>
          </mc:Choice>
          <mc:Fallback>
            <w:pict>
              <v:shape w14:anchorId="57624F21" id="_x0000_s1028"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" fillcolor="#ffc000">
                <v:fill opacity="11051f"/>
                <v:stroke dashstyle="dash"/>
                <v:textbox style="mso-fit-shape-to-text:t">
                  <w:txbxContent>
                    <w:p w:rsidR="008E16A1" w:rsidRPr="006B70D2" w:rsidRDefault="008E16A1" w:rsidP="006B70D2">
                      <w:pPr>
                        <w:pStyle w:val="Doc-text2"/>
                        <w:numPr>
                          <w:ilvl w:val="0"/>
                          <w:numId w:val="17"/>
                        </w:numPr>
                        <w:tabs>
                          <w:tab w:val="clear" w:pos="1622"/>
                          <w:tab w:val="left" w:pos="526"/>
                        </w:tabs>
                        <w:ind w:left="796" w:hanging="376"/>
                        <w:rPr>
                          <w:lang w:val="en-US"/>
                        </w:rPr>
                      </w:pPr>
                      <w:r w:rsidRPr="00426A9D">
                        <w:rPr>
                          <w:lang w:val="en-US"/>
                        </w:rPr>
                        <w:t xml:space="preserve">RSRP threshold for carrier selection is specific to SDT (i.e. separately configured for SDT).  This is optional for the network.  </w:t>
                      </w:r>
                      <w:r>
                        <w:t xml:space="preserve">  </w:t>
                      </w:r>
                    </w:p>
                  </w:txbxContent>
                </v:textbox>
                <w10:anchorlock/>
              </v:shape>
            </w:pict>
          </mc:Fallback>
        </mc:AlternateContent>
      </w:r>
    </w:p>
    <w:p w:rsidR="00EF44D5" w:rsidRDefault="006B70D2" w:rsidP="00D40785">
      <w:r>
        <w:t>One way to accommodate these two contradicting agreements is to take SDT specific RSRP threshold into account during the initialization section of RACH pro</w:t>
      </w:r>
      <w:r w:rsidR="00FA0E28">
        <w:t>cedure i.e. section 5.1.1</w:t>
      </w:r>
      <w:r>
        <w:t>. The simple solution is to choose a high bar i.e. a higher RSRP threshold for UE to access SUL. This could apply to all potential feature specific RSRP threshold including original common one i.e. the chose</w:t>
      </w:r>
      <w:r w:rsidR="000979DD">
        <w:t>n</w:t>
      </w:r>
      <w:r>
        <w:t xml:space="preserve"> carrier selection threshold could be </w:t>
      </w:r>
      <w:r w:rsidR="00FA0E28">
        <w:t xml:space="preserve">maximum </w:t>
      </w:r>
      <w:r>
        <w:t>(common RSRP threshold, SDT specific RSRP threshold,…). And of course the carrier selection RSRP threshold is configured as per feature parameter which can be applied for all relevant feature/feature combination.</w:t>
      </w:r>
    </w:p>
    <w:p w:rsidR="00EF44D5" w:rsidRPr="008E168A" w:rsidRDefault="006B70D2" w:rsidP="00D40785">
      <w:pPr>
        <w:rPr>
          <w:b/>
        </w:rPr>
      </w:pPr>
      <w:r w:rsidRPr="008E168A">
        <w:rPr>
          <w:b/>
        </w:rPr>
        <w:t>Proposal2: carrier selection RSRP threshold, if any, should be configured as per feature parameter</w:t>
      </w:r>
    </w:p>
    <w:p w:rsidR="006B70D2" w:rsidRPr="008E168A" w:rsidRDefault="006B70D2" w:rsidP="00D40785">
      <w:pPr>
        <w:rPr>
          <w:b/>
        </w:rPr>
      </w:pPr>
      <w:r w:rsidRPr="008E168A">
        <w:rPr>
          <w:b/>
        </w:rPr>
        <w:t>Prop</w:t>
      </w:r>
      <w:r w:rsidR="00BF6905" w:rsidRPr="008E168A">
        <w:rPr>
          <w:b/>
        </w:rPr>
        <w:t>o</w:t>
      </w:r>
      <w:r w:rsidR="00FA0E28" w:rsidRPr="008E168A">
        <w:rPr>
          <w:b/>
        </w:rPr>
        <w:t>sal3: In section 5.1.1, rsrp-ThresholdSSB-SUL= maximum (common RSRP threshold, SDT specific RSRP threshold</w:t>
      </w:r>
      <w:r w:rsidR="008E168A" w:rsidRPr="008E168A">
        <w:rPr>
          <w:b/>
        </w:rPr>
        <w:t xml:space="preserve"> </w:t>
      </w:r>
      <w:r w:rsidR="00FA0E28" w:rsidRPr="008E168A">
        <w:rPr>
          <w:b/>
        </w:rPr>
        <w:t>(if triggered),other feature specific RSRP threshold (if triggered),…)</w:t>
      </w:r>
    </w:p>
    <w:p w:rsidR="00BF6905" w:rsidRDefault="008E168A" w:rsidP="00D40785">
      <w:r>
        <w:rPr>
          <w:rFonts w:hint="eastAsia"/>
        </w:rPr>
        <w:t>A</w:t>
      </w:r>
      <w:r>
        <w:t>s for the BWP, the original ex</w:t>
      </w:r>
      <w:r w:rsidR="00373522">
        <w:t>ception case is Redcap UE. D</w:t>
      </w:r>
      <w:r>
        <w:t>uring the</w:t>
      </w:r>
      <w:r w:rsidR="00373522">
        <w:t xml:space="preserve"> RAN#94 meeting it is agreed in</w:t>
      </w:r>
      <w:r w:rsidRPr="008E168A">
        <w:t xml:space="preserve"> RP-213690</w:t>
      </w:r>
      <w:r>
        <w:t xml:space="preserve"> UE will always monitoring paging in initial BWP containing CD-SSB. It means </w:t>
      </w:r>
      <w:r w:rsidR="00373522">
        <w:t>UE will any way camp on initial BWP containing CD-SSB, but UE may</w:t>
      </w:r>
      <w:r>
        <w:t xml:space="preserve"> trigger RACH procedure in </w:t>
      </w:r>
      <w:r w:rsidR="00373522">
        <w:t xml:space="preserve">either </w:t>
      </w:r>
      <w:r>
        <w:t>initial BWP containing CD-SSB</w:t>
      </w:r>
      <w:r w:rsidR="00373522">
        <w:t xml:space="preserve"> </w:t>
      </w:r>
      <w:r w:rsidR="00373522">
        <w:rPr>
          <w:rFonts w:hint="eastAsia"/>
        </w:rPr>
        <w:t>or</w:t>
      </w:r>
      <w:r w:rsidR="00373522">
        <w:t xml:space="preserve"> NCD-SSB</w:t>
      </w:r>
      <w:r>
        <w:t xml:space="preserve">. </w:t>
      </w:r>
      <w:r w:rsidR="00373522">
        <w:t>We feel something need be changed for such Redcap UE’s new behaviour which can be captured in section 5.15 in MAC spec</w:t>
      </w:r>
      <w:r>
        <w:t>.</w:t>
      </w:r>
      <w:r w:rsidR="00373522">
        <w:t xml:space="preserve"> Apart from this there is nothing special for other features.</w:t>
      </w:r>
    </w:p>
    <w:p w:rsidR="00380025" w:rsidRPr="0035207C" w:rsidRDefault="00380025" w:rsidP="00D40785">
      <w:pPr>
        <w:rPr>
          <w:b/>
        </w:rPr>
      </w:pPr>
      <w:r w:rsidRPr="0035207C">
        <w:rPr>
          <w:b/>
        </w:rPr>
        <w:t xml:space="preserve">Propsoal4: UE selects BWP </w:t>
      </w:r>
      <w:r w:rsidR="00AD5C79">
        <w:rPr>
          <w:b/>
        </w:rPr>
        <w:t>before</w:t>
      </w:r>
      <w:r w:rsidRPr="0035207C">
        <w:rPr>
          <w:b/>
        </w:rPr>
        <w:t xml:space="preserve"> considering any triggered feature/feature combination</w:t>
      </w:r>
      <w:r w:rsidR="00373522">
        <w:rPr>
          <w:b/>
        </w:rPr>
        <w:t xml:space="preserve"> apart from Redcap feature, which relevant behaviour can be captured in section 5.15 of MAC spec.</w:t>
      </w:r>
    </w:p>
    <w:p w:rsidR="00380025" w:rsidRDefault="001235B5" w:rsidP="00D40785">
      <w:r>
        <w:t xml:space="preserve">One left issue from email discussion is whether any enhancement is needed for RA-RNTI calculation. </w:t>
      </w:r>
      <w:r w:rsidR="00AD5C79">
        <w:t>T</w:t>
      </w:r>
      <w:r>
        <w:t>his issue has been discussed in SDT WID context</w:t>
      </w:r>
      <w:r w:rsidR="00AD5C79">
        <w:t>. Like many companies, we think</w:t>
      </w:r>
      <w:r>
        <w:t xml:space="preserve"> it seems network’s implementation is sufficient.</w:t>
      </w:r>
      <w:r w:rsidR="00EB57AF">
        <w:t xml:space="preserve"> As for the additional search space, people may have misunderstand</w:t>
      </w:r>
      <w:r w:rsidR="001F3B36">
        <w:t>ing of the agreement in SDT WID:</w:t>
      </w:r>
    </w:p>
    <w:p w:rsidR="00EB57AF" w:rsidRDefault="00EB57AF" w:rsidP="00EB57AF">
      <w:r>
        <w:rPr>
          <w:noProof/>
          <w:lang w:val="en-US"/>
        </w:rPr>
        <mc:AlternateContent>
          <mc:Choice Requires="wps">
            <w:drawing>
              <wp:inline distT="0" distB="0" distL="0" distR="0" wp14:anchorId="24AC4635" wp14:editId="000E350D">
                <wp:extent cx="6067908" cy="1404620"/>
                <wp:effectExtent l="0" t="0" r="28575"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908" cy="1404620"/>
                        </a:xfrm>
                        <a:prstGeom prst="rect">
                          <a:avLst/>
                        </a:prstGeom>
                        <a:solidFill>
                          <a:srgbClr val="FFC000">
                            <a:alpha val="17000"/>
                          </a:srgbClr>
                        </a:solidFill>
                        <a:ln w="9525">
                          <a:solidFill>
                            <a:srgbClr val="000000"/>
                          </a:solidFill>
                          <a:prstDash val="dash"/>
                          <a:miter lim="800000"/>
                          <a:headEnd/>
                          <a:tailEnd/>
                        </a:ln>
                      </wps:spPr>
                      <wps:txbx>
                        <w:txbxContent>
                          <w:p w:rsidR="008E16A1" w:rsidRPr="00EB57AF" w:rsidRDefault="001F3B36" w:rsidP="00EB57AF">
                            <w:pPr>
                              <w:pStyle w:val="Doc-text2"/>
                              <w:tabs>
                                <w:tab w:val="clear" w:pos="1622"/>
                                <w:tab w:val="left" w:pos="526"/>
                              </w:tabs>
                              <w:ind w:left="0" w:firstLine="0"/>
                              <w:rPr>
                                <w:rFonts w:eastAsiaTheme="minorEastAsia"/>
                                <w:lang w:val="en-US" w:eastAsia="zh-CN"/>
                              </w:rPr>
                            </w:pPr>
                            <w:r w:rsidRPr="001F3B36">
                              <w:rPr>
                                <w:rFonts w:eastAsiaTheme="minorEastAsia"/>
                                <w:lang w:val="en-US" w:eastAsia="zh-CN"/>
                              </w:rPr>
                              <w:t>The separate search space is common to the UEs performing RA-SDT. Inform RAN1 of this agreement</w:t>
                            </w:r>
                          </w:p>
                        </w:txbxContent>
                      </wps:txbx>
                      <wps:bodyPr rot="0" vert="horz" wrap="square" lIns="91440" tIns="45720" rIns="91440" bIns="45720" anchor="t" anchorCtr="0">
                        <a:spAutoFit/>
                      </wps:bodyPr>
                    </wps:wsp>
                  </a:graphicData>
                </a:graphic>
              </wp:inline>
            </w:drawing>
          </mc:Choice>
          <mc:Fallback>
            <w:pict>
              <v:shape w14:anchorId="24AC4635" id="文本框 3" o:spid="_x0000_s1029"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" fillcolor="#ffc000">
                <v:fill opacity="11051f"/>
                <v:stroke dashstyle="dash"/>
                <v:textbox style="mso-fit-shape-to-text:t">
                  <w:txbxContent>
                    <w:p w:rsidR="008E16A1" w:rsidRPr="00EB57AF" w:rsidRDefault="001F3B36" w:rsidP="00EB57AF">
                      <w:pPr>
                        <w:pStyle w:val="Doc-text2"/>
                        <w:tabs>
                          <w:tab w:val="clear" w:pos="1622"/>
                          <w:tab w:val="left" w:pos="526"/>
                        </w:tabs>
                        <w:ind w:left="0" w:firstLine="0"/>
                        <w:rPr>
                          <w:rFonts w:eastAsiaTheme="minorEastAsia"/>
                          <w:lang w:val="en-US" w:eastAsia="zh-CN"/>
                        </w:rPr>
                      </w:pPr>
                      <w:r w:rsidRPr="001F3B36">
                        <w:rPr>
                          <w:rFonts w:eastAsiaTheme="minorEastAsia"/>
                          <w:lang w:val="en-US" w:eastAsia="zh-CN"/>
                        </w:rPr>
                        <w:t>The separate search space is common to the UEs performing RA-SDT. Inform RAN1 of this agreement</w:t>
                      </w:r>
                    </w:p>
                  </w:txbxContent>
                </v:textbox>
                <w10:anchorlock/>
              </v:shape>
            </w:pict>
          </mc:Fallback>
        </mc:AlternateContent>
      </w:r>
    </w:p>
    <w:p w:rsidR="00EB57AF" w:rsidRDefault="001F3B36" w:rsidP="00D40785">
      <w:r>
        <w:lastRenderedPageBreak/>
        <w:t xml:space="preserve">From the summary document </w:t>
      </w:r>
      <w:r w:rsidR="000979DD">
        <w:t xml:space="preserve">[2] </w:t>
      </w:r>
      <w:r>
        <w:t>and mentioned RAN1 LS</w:t>
      </w:r>
      <w:r w:rsidR="007512BC">
        <w:t xml:space="preserve"> [3]</w:t>
      </w:r>
      <w:r>
        <w:t>,</w:t>
      </w:r>
      <w:r w:rsidR="00AD5C79">
        <w:t xml:space="preserve"> o</w:t>
      </w:r>
      <w:r w:rsidR="00EB57AF">
        <w:t>ur understanding is that the additional search space has nothing to do with the reception of msg2 or msgB.</w:t>
      </w:r>
    </w:p>
    <w:p w:rsidR="00BB26D1" w:rsidRDefault="00BB26D1" w:rsidP="00BB26D1">
      <w:r>
        <w:rPr>
          <w:noProof/>
          <w:lang w:val="en-US"/>
        </w:rPr>
        <mc:AlternateContent>
          <mc:Choice Requires="wps">
            <w:drawing>
              <wp:inline distT="0" distB="0" distL="0" distR="0" wp14:anchorId="7C28B7E5" wp14:editId="4123C31A">
                <wp:extent cx="6067908" cy="1404620"/>
                <wp:effectExtent l="0" t="0" r="28575" b="1333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908" cy="1404620"/>
                        </a:xfrm>
                        <a:prstGeom prst="rect">
                          <a:avLst/>
                        </a:prstGeom>
                        <a:solidFill>
                          <a:srgbClr val="FFC000">
                            <a:alpha val="17000"/>
                          </a:srgbClr>
                        </a:solidFill>
                        <a:ln w="9525">
                          <a:solidFill>
                            <a:srgbClr val="000000"/>
                          </a:solidFill>
                          <a:prstDash val="dash"/>
                          <a:miter lim="800000"/>
                          <a:headEnd/>
                          <a:tailEnd/>
                        </a:ln>
                      </wps:spPr>
                      <wps:txbx>
                        <w:txbxContent>
                          <w:p w:rsidR="00BB26D1" w:rsidRDefault="00BB26D1" w:rsidP="00BB26D1">
                            <w:pPr>
                              <w:pStyle w:val="Doc-text2"/>
                              <w:snapToGrid w:val="0"/>
                              <w:spacing w:before="60"/>
                              <w:ind w:left="0" w:firstLine="0"/>
                              <w:jc w:val="both"/>
                              <w:rPr>
                                <w:rFonts w:ascii="Times New Roman" w:hAnsi="Times New Roman"/>
                                <w:b/>
                                <w:szCs w:val="20"/>
                              </w:rPr>
                            </w:pPr>
                            <w:r>
                              <w:rPr>
                                <w:rFonts w:ascii="Times New Roman" w:hAnsi="Times New Roman"/>
                                <w:b/>
                                <w:color w:val="000000"/>
                                <w:szCs w:val="20"/>
                              </w:rPr>
                              <w:t xml:space="preserve">R1-2102125 Reply </w:t>
                            </w:r>
                            <w:r>
                              <w:rPr>
                                <w:rFonts w:ascii="Times New Roman" w:hAnsi="Times New Roman"/>
                                <w:b/>
                                <w:bCs/>
                                <w:color w:val="000000"/>
                                <w:szCs w:val="20"/>
                              </w:rPr>
                              <w:t xml:space="preserve">LS </w:t>
                            </w:r>
                            <w:r>
                              <w:rPr>
                                <w:rFonts w:ascii="Times New Roman" w:hAnsi="Times New Roman"/>
                                <w:b/>
                                <w:szCs w:val="20"/>
                              </w:rPr>
                              <w:t xml:space="preserve">on </w:t>
                            </w:r>
                            <w:r>
                              <w:rPr>
                                <w:rFonts w:ascii="Times New Roman" w:hAnsi="Times New Roman"/>
                                <w:b/>
                                <w:bCs/>
                                <w:szCs w:val="20"/>
                              </w:rPr>
                              <w:t>physical layer aspects of small data transmission</w:t>
                            </w:r>
                          </w:p>
                          <w:p w:rsidR="00BB26D1" w:rsidRDefault="00BB26D1" w:rsidP="00BB26D1">
                            <w:pPr>
                              <w:pStyle w:val="Doc-text2"/>
                              <w:numPr>
                                <w:ilvl w:val="0"/>
                                <w:numId w:val="38"/>
                              </w:numPr>
                              <w:jc w:val="both"/>
                              <w:rPr>
                                <w:rFonts w:ascii="Times New Roman" w:hAnsi="Times New Roman"/>
                                <w:szCs w:val="20"/>
                              </w:rPr>
                            </w:pPr>
                            <w:r>
                              <w:rPr>
                                <w:rFonts w:ascii="Times New Roman" w:hAnsi="Times New Roman"/>
                                <w:szCs w:val="20"/>
                              </w:rPr>
                              <w:t xml:space="preserve">From RAN1 perspective, at least a separate SearchSpace that is different from the existing common SearchSpace should be supported for monitoring the PDCCH </w:t>
                            </w:r>
                            <w:r w:rsidRPr="00BB26D1">
                              <w:rPr>
                                <w:rFonts w:ascii="Times New Roman" w:hAnsi="Times New Roman"/>
                                <w:color w:val="FF0000"/>
                                <w:szCs w:val="20"/>
                              </w:rPr>
                              <w:t>addressed to the C-RNTI after successful completion of the RACH procedure during RA-SDT</w:t>
                            </w:r>
                          </w:p>
                          <w:p w:rsidR="00BB26D1" w:rsidRDefault="00BB26D1" w:rsidP="00BB26D1">
                            <w:pPr>
                              <w:pStyle w:val="Doc-text2"/>
                              <w:numPr>
                                <w:ilvl w:val="1"/>
                                <w:numId w:val="38"/>
                              </w:numPr>
                              <w:jc w:val="both"/>
                              <w:rPr>
                                <w:rFonts w:ascii="Times New Roman" w:hAnsi="Times New Roman"/>
                                <w:szCs w:val="20"/>
                              </w:rPr>
                            </w:pPr>
                            <w:r>
                              <w:rPr>
                                <w:rFonts w:ascii="Times New Roman" w:hAnsi="Times New Roman"/>
                                <w:szCs w:val="20"/>
                              </w:rPr>
                              <w:t>It is up to RAN2 decision if the separate SearchSpace is UE-specific or common to the UEs performing RA-SDT</w:t>
                            </w:r>
                          </w:p>
                          <w:p w:rsidR="00BB26D1" w:rsidRDefault="00BB26D1" w:rsidP="00BB26D1">
                            <w:pPr>
                              <w:pStyle w:val="Doc-text2"/>
                              <w:numPr>
                                <w:ilvl w:val="0"/>
                                <w:numId w:val="38"/>
                              </w:numPr>
                              <w:jc w:val="both"/>
                              <w:rPr>
                                <w:rFonts w:ascii="Times New Roman" w:hAnsi="Times New Roman"/>
                                <w:szCs w:val="20"/>
                              </w:rPr>
                            </w:pPr>
                            <w:r>
                              <w:rPr>
                                <w:rFonts w:ascii="Times New Roman" w:hAnsi="Times New Roman"/>
                                <w:szCs w:val="20"/>
                              </w:rPr>
                              <w:t>If the separate SearchSpace is not configured, type-1 PDCCH CSS can be reused.</w:t>
                            </w:r>
                          </w:p>
                          <w:p w:rsidR="00BB26D1" w:rsidRPr="00EB57AF" w:rsidRDefault="00BB26D1" w:rsidP="00BB26D1">
                            <w:pPr>
                              <w:pStyle w:val="Doc-text2"/>
                              <w:tabs>
                                <w:tab w:val="clear" w:pos="1622"/>
                                <w:tab w:val="left" w:pos="526"/>
                              </w:tabs>
                              <w:ind w:left="0" w:firstLine="0"/>
                              <w:rPr>
                                <w:rFonts w:eastAsiaTheme="minorEastAsia"/>
                                <w:lang w:val="en-US" w:eastAsia="zh-CN"/>
                              </w:rPr>
                            </w:pPr>
                            <w:r>
                              <w:rPr>
                                <w:rFonts w:ascii="Times New Roman" w:hAnsi="Times New Roman"/>
                                <w:szCs w:val="20"/>
                              </w:rPr>
                              <w:t>FFS UE-specific CORESET or common CORESET</w:t>
                            </w:r>
                          </w:p>
                        </w:txbxContent>
                      </wps:txbx>
                      <wps:bodyPr rot="0" vert="horz" wrap="square" lIns="91440" tIns="45720" rIns="91440" bIns="45720" anchor="t" anchorCtr="0">
                        <a:spAutoFit/>
                      </wps:bodyPr>
                    </wps:wsp>
                  </a:graphicData>
                </a:graphic>
              </wp:inline>
            </w:drawing>
          </mc:Choice>
          <mc:Fallback>
            <w:pict>
              <v:shape w14:anchorId="7C28B7E5" id="文本框 7" o:spid="_x0000_s1030"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" fillcolor="#ffc000">
                <v:fill opacity="11051f"/>
                <v:stroke dashstyle="dash"/>
                <v:textbox style="mso-fit-shape-to-text:t">
                  <w:txbxContent>
                    <w:p w:rsidR="00BB26D1" w:rsidRDefault="00BB26D1" w:rsidP="00BB26D1">
                      <w:pPr>
                        <w:pStyle w:val="Doc-text2"/>
                        <w:snapToGrid w:val="0"/>
                        <w:spacing w:before="60"/>
                        <w:ind w:left="0" w:firstLine="0"/>
                        <w:jc w:val="both"/>
                        <w:rPr>
                          <w:rFonts w:ascii="Times New Roman" w:hAnsi="Times New Roman"/>
                          <w:b/>
                          <w:szCs w:val="20"/>
                        </w:rPr>
                      </w:pPr>
                      <w:r>
                        <w:rPr>
                          <w:rFonts w:ascii="Times New Roman" w:hAnsi="Times New Roman"/>
                          <w:b/>
                          <w:color w:val="000000"/>
                          <w:szCs w:val="20"/>
                        </w:rPr>
                        <w:t xml:space="preserve">R1-2102125 Reply </w:t>
                      </w:r>
                      <w:r>
                        <w:rPr>
                          <w:rFonts w:ascii="Times New Roman" w:hAnsi="Times New Roman"/>
                          <w:b/>
                          <w:bCs/>
                          <w:color w:val="000000"/>
                          <w:szCs w:val="20"/>
                        </w:rPr>
                        <w:t xml:space="preserve">LS </w:t>
                      </w:r>
                      <w:r>
                        <w:rPr>
                          <w:rFonts w:ascii="Times New Roman" w:hAnsi="Times New Roman"/>
                          <w:b/>
                          <w:szCs w:val="20"/>
                        </w:rPr>
                        <w:t xml:space="preserve">on </w:t>
                      </w:r>
                      <w:r>
                        <w:rPr>
                          <w:rFonts w:ascii="Times New Roman" w:hAnsi="Times New Roman"/>
                          <w:b/>
                          <w:bCs/>
                          <w:szCs w:val="20"/>
                        </w:rPr>
                        <w:t>physical layer aspects of small data transmission</w:t>
                      </w:r>
                    </w:p>
                    <w:p w:rsidR="00BB26D1" w:rsidRDefault="00BB26D1" w:rsidP="00BB26D1">
                      <w:pPr>
                        <w:pStyle w:val="Doc-text2"/>
                        <w:numPr>
                          <w:ilvl w:val="0"/>
                          <w:numId w:val="38"/>
                        </w:numPr>
                        <w:jc w:val="both"/>
                        <w:rPr>
                          <w:rFonts w:ascii="Times New Roman" w:hAnsi="Times New Roman"/>
                          <w:szCs w:val="20"/>
                        </w:rPr>
                      </w:pPr>
                      <w:r>
                        <w:rPr>
                          <w:rFonts w:ascii="Times New Roman" w:hAnsi="Times New Roman"/>
                          <w:szCs w:val="20"/>
                        </w:rPr>
                        <w:t xml:space="preserve">From RAN1 perspective, at least a separate SearchSpace that is different from the existing common SearchSpace should be supported for monitoring the PDCCH </w:t>
                      </w:r>
                      <w:r w:rsidRPr="00BB26D1">
                        <w:rPr>
                          <w:rFonts w:ascii="Times New Roman" w:hAnsi="Times New Roman"/>
                          <w:color w:val="FF0000"/>
                          <w:szCs w:val="20"/>
                        </w:rPr>
                        <w:t>addressed to the C-RNTI after successful completion of the RACH procedure during RA-SDT</w:t>
                      </w:r>
                    </w:p>
                    <w:p w:rsidR="00BB26D1" w:rsidRDefault="00BB26D1" w:rsidP="00BB26D1">
                      <w:pPr>
                        <w:pStyle w:val="Doc-text2"/>
                        <w:numPr>
                          <w:ilvl w:val="1"/>
                          <w:numId w:val="38"/>
                        </w:numPr>
                        <w:jc w:val="both"/>
                        <w:rPr>
                          <w:rFonts w:ascii="Times New Roman" w:hAnsi="Times New Roman"/>
                          <w:szCs w:val="20"/>
                        </w:rPr>
                      </w:pPr>
                      <w:r>
                        <w:rPr>
                          <w:rFonts w:ascii="Times New Roman" w:hAnsi="Times New Roman"/>
                          <w:szCs w:val="20"/>
                        </w:rPr>
                        <w:t>It is up to RAN2 decision if the separate SearchSpace is UE-specific or common to the UEs performing RA-SDT</w:t>
                      </w:r>
                    </w:p>
                    <w:p w:rsidR="00BB26D1" w:rsidRDefault="00BB26D1" w:rsidP="00BB26D1">
                      <w:pPr>
                        <w:pStyle w:val="Doc-text2"/>
                        <w:numPr>
                          <w:ilvl w:val="0"/>
                          <w:numId w:val="38"/>
                        </w:numPr>
                        <w:jc w:val="both"/>
                        <w:rPr>
                          <w:rFonts w:ascii="Times New Roman" w:hAnsi="Times New Roman"/>
                          <w:szCs w:val="20"/>
                        </w:rPr>
                      </w:pPr>
                      <w:r>
                        <w:rPr>
                          <w:rFonts w:ascii="Times New Roman" w:hAnsi="Times New Roman"/>
                          <w:szCs w:val="20"/>
                        </w:rPr>
                        <w:t>If the separate SearchSpace is not configured, type-1 PDCCH CSS can be reused.</w:t>
                      </w:r>
                    </w:p>
                    <w:p w:rsidR="00BB26D1" w:rsidRPr="00EB57AF" w:rsidRDefault="00BB26D1" w:rsidP="00BB26D1">
                      <w:pPr>
                        <w:pStyle w:val="Doc-text2"/>
                        <w:tabs>
                          <w:tab w:val="clear" w:pos="1622"/>
                          <w:tab w:val="left" w:pos="526"/>
                        </w:tabs>
                        <w:ind w:left="0" w:firstLine="0"/>
                        <w:rPr>
                          <w:rFonts w:eastAsiaTheme="minorEastAsia"/>
                          <w:lang w:val="en-US" w:eastAsia="zh-CN"/>
                        </w:rPr>
                      </w:pPr>
                      <w:r>
                        <w:rPr>
                          <w:rFonts w:ascii="Times New Roman" w:hAnsi="Times New Roman"/>
                          <w:szCs w:val="20"/>
                        </w:rPr>
                        <w:t>FFS UE-specific CORESET or common CORESET</w:t>
                      </w:r>
                    </w:p>
                  </w:txbxContent>
                </v:textbox>
                <w10:anchorlock/>
              </v:shape>
            </w:pict>
          </mc:Fallback>
        </mc:AlternateContent>
      </w:r>
    </w:p>
    <w:p w:rsidR="00BB26D1" w:rsidRDefault="00BB26D1" w:rsidP="00D40785">
      <w:r>
        <w:t>On the other hand this could be potential solution. But RAN2 doesn’t need to conclude on it now.</w:t>
      </w:r>
    </w:p>
    <w:p w:rsidR="00EB57AF" w:rsidRPr="00BD7006" w:rsidRDefault="00EB57AF" w:rsidP="00D40785">
      <w:pPr>
        <w:rPr>
          <w:b/>
        </w:rPr>
      </w:pPr>
      <w:r w:rsidRPr="00BD7006">
        <w:rPr>
          <w:b/>
        </w:rPr>
        <w:t>Proposal5: No further enhancement on RA-RNTI calculation is needed and it could be left for network’s implementation.</w:t>
      </w:r>
    </w:p>
    <w:p w:rsidR="00BD7006" w:rsidRDefault="000C7F2D" w:rsidP="00D40785">
      <w:r>
        <w:rPr>
          <w:rFonts w:hint="eastAsia"/>
        </w:rPr>
        <w:t>O</w:t>
      </w:r>
      <w:r>
        <w:t>ne left open issue from last RAN2 meeting is following:</w:t>
      </w:r>
    </w:p>
    <w:p w:rsidR="000C7F2D" w:rsidRDefault="000C7F2D" w:rsidP="000C7F2D">
      <w:r>
        <w:rPr>
          <w:noProof/>
          <w:lang w:val="en-US"/>
        </w:rPr>
        <mc:AlternateContent>
          <mc:Choice Requires="wps">
            <w:drawing>
              <wp:inline distT="0" distB="0" distL="0" distR="0" wp14:anchorId="537B728B" wp14:editId="41E62B11">
                <wp:extent cx="6067908" cy="1404620"/>
                <wp:effectExtent l="0" t="0" r="28575" b="1016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908" cy="1404620"/>
                        </a:xfrm>
                        <a:prstGeom prst="rect">
                          <a:avLst/>
                        </a:prstGeom>
                        <a:solidFill>
                          <a:srgbClr val="FFC000">
                            <a:alpha val="17000"/>
                          </a:srgbClr>
                        </a:solidFill>
                        <a:ln w="9525">
                          <a:solidFill>
                            <a:srgbClr val="000000"/>
                          </a:solidFill>
                          <a:prstDash val="dash"/>
                          <a:miter lim="800000"/>
                          <a:headEnd/>
                          <a:tailEnd/>
                        </a:ln>
                      </wps:spPr>
                      <wps:txbx>
                        <w:txbxContent>
                          <w:p w:rsidR="008E16A1" w:rsidRPr="008E16A1" w:rsidRDefault="008E16A1" w:rsidP="000C7F2D">
                            <w:pPr>
                              <w:spacing w:after="60"/>
                              <w:ind w:left="1622"/>
                              <w:rPr>
                                <w:bCs/>
                                <w:lang w:eastAsia="ja-JP"/>
                              </w:rPr>
                            </w:pPr>
                            <w:r w:rsidRPr="008E16A1">
                              <w:rPr>
                                <w:bCs/>
                                <w:lang w:eastAsia="ja-JP"/>
                              </w:rPr>
                              <w:t>9  The following fallback case is supported?:</w:t>
                            </w:r>
                          </w:p>
                          <w:p w:rsidR="008E16A1" w:rsidRPr="008E16A1" w:rsidRDefault="008E16A1" w:rsidP="000C7F2D">
                            <w:pPr>
                              <w:spacing w:after="60"/>
                              <w:ind w:left="2236" w:hanging="270"/>
                              <w:rPr>
                                <w:bCs/>
                                <w:lang w:eastAsia="ja-JP"/>
                              </w:rPr>
                            </w:pPr>
                            <w:r w:rsidRPr="008E16A1">
                              <w:rPr>
                                <w:bCs/>
                                <w:lang w:eastAsia="ja-JP"/>
                              </w:rPr>
                              <w:t>–</w:t>
                            </w:r>
                            <w:r w:rsidRPr="008E16A1">
                              <w:rPr>
                                <w:bCs/>
                                <w:lang w:eastAsia="ja-JP"/>
                              </w:rPr>
                              <w:tab/>
                              <w:t xml:space="preserve">Fallback case 2: Fallback from 2-step slice specific RACH to 4-step common RACH, if 4-step slice specific RACH is not configured. </w:t>
                            </w:r>
                          </w:p>
                        </w:txbxContent>
                      </wps:txbx>
                      <wps:bodyPr rot="0" vert="horz" wrap="square" lIns="91440" tIns="45720" rIns="91440" bIns="45720" anchor="t" anchorCtr="0">
                        <a:spAutoFit/>
                      </wps:bodyPr>
                    </wps:wsp>
                  </a:graphicData>
                </a:graphic>
              </wp:inline>
            </w:drawing>
          </mc:Choice>
          <mc:Fallback>
            <w:pict>
              <v:shape w14:anchorId="537B728B" id="文本框 4" o:spid="_x0000_s1031"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" fillcolor="#ffc000">
                <v:fill opacity="11051f"/>
                <v:stroke dashstyle="dash"/>
                <v:textbox style="mso-fit-shape-to-text:t">
                  <w:txbxContent>
                    <w:p w:rsidR="008E16A1" w:rsidRPr="008E16A1" w:rsidRDefault="008E16A1" w:rsidP="000C7F2D">
                      <w:pPr>
                        <w:spacing w:after="60"/>
                        <w:ind w:left="1622"/>
                        <w:rPr>
                          <w:bCs/>
                          <w:lang w:eastAsia="ja-JP"/>
                        </w:rPr>
                      </w:pPr>
                      <w:r w:rsidRPr="008E16A1">
                        <w:rPr>
                          <w:bCs/>
                          <w:lang w:eastAsia="ja-JP"/>
                        </w:rPr>
                        <w:t>9  The following fallback case is supported?:</w:t>
                      </w:r>
                    </w:p>
                    <w:p w:rsidR="008E16A1" w:rsidRPr="008E16A1" w:rsidRDefault="008E16A1" w:rsidP="000C7F2D">
                      <w:pPr>
                        <w:spacing w:after="60"/>
                        <w:ind w:left="2236" w:hanging="270"/>
                        <w:rPr>
                          <w:bCs/>
                          <w:lang w:eastAsia="ja-JP"/>
                        </w:rPr>
                      </w:pPr>
                      <w:r w:rsidRPr="008E16A1">
                        <w:rPr>
                          <w:bCs/>
                          <w:lang w:eastAsia="ja-JP"/>
                        </w:rPr>
                        <w:t>–</w:t>
                      </w:r>
                      <w:r w:rsidRPr="008E16A1">
                        <w:rPr>
                          <w:bCs/>
                          <w:lang w:eastAsia="ja-JP"/>
                        </w:rPr>
                        <w:tab/>
                        <w:t xml:space="preserve">Fallback case 2: Fallback from 2-step slice specific RACH to 4-step common RACH, if 4-step slice specific RACH is not configured. </w:t>
                      </w:r>
                    </w:p>
                  </w:txbxContent>
                </v:textbox>
                <w10:anchorlock/>
              </v:shape>
            </w:pict>
          </mc:Fallback>
        </mc:AlternateContent>
      </w:r>
    </w:p>
    <w:p w:rsidR="000C7F2D" w:rsidRDefault="000C7F2D" w:rsidP="00D40785">
      <w:r>
        <w:t>There is one comments from session Chair:</w:t>
      </w:r>
    </w:p>
    <w:p w:rsidR="000C7F2D" w:rsidRDefault="000C7F2D" w:rsidP="000C7F2D">
      <w:r>
        <w:rPr>
          <w:noProof/>
          <w:lang w:val="en-US"/>
        </w:rPr>
        <mc:AlternateContent>
          <mc:Choice Requires="wps">
            <w:drawing>
              <wp:inline distT="0" distB="0" distL="0" distR="0" wp14:anchorId="036C0C56" wp14:editId="6321ED2C">
                <wp:extent cx="6067908" cy="1404620"/>
                <wp:effectExtent l="0" t="0" r="28575" b="1016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908" cy="1404620"/>
                        </a:xfrm>
                        <a:prstGeom prst="rect">
                          <a:avLst/>
                        </a:prstGeom>
                        <a:solidFill>
                          <a:srgbClr val="FFC000">
                            <a:alpha val="17000"/>
                          </a:srgbClr>
                        </a:solidFill>
                        <a:ln w="9525">
                          <a:solidFill>
                            <a:srgbClr val="000000"/>
                          </a:solidFill>
                          <a:prstDash val="dash"/>
                          <a:miter lim="800000"/>
                          <a:headEnd/>
                          <a:tailEnd/>
                        </a:ln>
                      </wps:spPr>
                      <wps:txbx>
                        <w:txbxContent>
                          <w:p w:rsidR="008E16A1" w:rsidRPr="000C7F2D" w:rsidRDefault="008E16A1" w:rsidP="000C7F2D">
                            <w:pPr>
                              <w:spacing w:after="60"/>
                              <w:rPr>
                                <w:b/>
                                <w:bCs/>
                                <w:lang w:eastAsia="ja-JP"/>
                              </w:rPr>
                            </w:pPr>
                            <w:r w:rsidRPr="003E5858">
                              <w:rPr>
                                <w:b/>
                                <w:bCs/>
                                <w:lang w:eastAsia="ja-JP"/>
                              </w:rPr>
                              <w:t xml:space="preserve"> </w:t>
                            </w:r>
                            <w:r>
                              <w:t>=&gt;</w:t>
                            </w:r>
                            <w:r>
                              <w:tab/>
                              <w:t>The agreement 9 needs to be aligned to common framework where the UE falls back (switching) to the same RA type it has initially selected and we will update the wording next meeting</w:t>
                            </w:r>
                          </w:p>
                        </w:txbxContent>
                      </wps:txbx>
                      <wps:bodyPr rot="0" vert="horz" wrap="square" lIns="91440" tIns="45720" rIns="91440" bIns="45720" anchor="t" anchorCtr="0">
                        <a:spAutoFit/>
                      </wps:bodyPr>
                    </wps:wsp>
                  </a:graphicData>
                </a:graphic>
              </wp:inline>
            </w:drawing>
          </mc:Choice>
          <mc:Fallback>
            <w:pict>
              <v:shape w14:anchorId="036C0C56" id="文本框 5" o:spid="_x0000_s1032"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" fillcolor="#ffc000">
                <v:fill opacity="11051f"/>
                <v:stroke dashstyle="dash"/>
                <v:textbox style="mso-fit-shape-to-text:t">
                  <w:txbxContent>
                    <w:p w:rsidR="008E16A1" w:rsidRPr="000C7F2D" w:rsidRDefault="008E16A1" w:rsidP="000C7F2D">
                      <w:pPr>
                        <w:spacing w:after="60"/>
                        <w:rPr>
                          <w:b/>
                          <w:bCs/>
                          <w:lang w:eastAsia="ja-JP"/>
                        </w:rPr>
                      </w:pPr>
                      <w:r w:rsidRPr="003E5858">
                        <w:rPr>
                          <w:b/>
                          <w:bCs/>
                          <w:lang w:eastAsia="ja-JP"/>
                        </w:rPr>
                        <w:t xml:space="preserve"> </w:t>
                      </w:r>
                      <w:r>
                        <w:t>=&gt;</w:t>
                      </w:r>
                      <w:r>
                        <w:tab/>
                        <w:t>The agreement 9 needs to be aligned to common framework where the UE falls back (switching) to the same RA type it has initially selected and we will update the wording next meeting</w:t>
                      </w:r>
                    </w:p>
                  </w:txbxContent>
                </v:textbox>
                <w10:anchorlock/>
              </v:shape>
            </w:pict>
          </mc:Fallback>
        </mc:AlternateContent>
      </w:r>
    </w:p>
    <w:p w:rsidR="00B92482" w:rsidRDefault="00B92482" w:rsidP="00B92482">
      <w:pPr>
        <w:pStyle w:val="af2"/>
      </w:pPr>
      <w:r>
        <w:t>For us</w:t>
      </w:r>
      <w:r w:rsidR="008E16A1">
        <w:t>, agreement 9 address different case from</w:t>
      </w:r>
      <w:r>
        <w:t xml:space="preserve"> existing common session agreement in RAN2@115 meeting:</w:t>
      </w:r>
    </w:p>
    <w:p w:rsidR="00B92482" w:rsidRDefault="00B92482" w:rsidP="00B92482">
      <w:r>
        <w:rPr>
          <w:noProof/>
          <w:lang w:val="en-US"/>
        </w:rPr>
        <mc:AlternateContent>
          <mc:Choice Requires="wps">
            <w:drawing>
              <wp:inline distT="0" distB="0" distL="0" distR="0" wp14:anchorId="63E0D406" wp14:editId="4332C478">
                <wp:extent cx="6067908" cy="1404620"/>
                <wp:effectExtent l="0" t="0" r="28575" b="1016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908" cy="1404620"/>
                        </a:xfrm>
                        <a:prstGeom prst="rect">
                          <a:avLst/>
                        </a:prstGeom>
                        <a:solidFill>
                          <a:srgbClr val="FFC000">
                            <a:alpha val="17000"/>
                          </a:srgbClr>
                        </a:solidFill>
                        <a:ln w="9525">
                          <a:solidFill>
                            <a:srgbClr val="000000"/>
                          </a:solidFill>
                          <a:prstDash val="dash"/>
                          <a:miter lim="800000"/>
                          <a:headEnd/>
                          <a:tailEnd/>
                        </a:ln>
                      </wps:spPr>
                      <wps:txbx>
                        <w:txbxContent>
                          <w:p w:rsidR="008E16A1" w:rsidRPr="000C7F2D" w:rsidRDefault="008E16A1" w:rsidP="00B92482">
                            <w:pPr>
                              <w:spacing w:after="60"/>
                              <w:rPr>
                                <w:b/>
                                <w:bCs/>
                                <w:lang w:eastAsia="ja-JP"/>
                              </w:rPr>
                            </w:pPr>
                            <w:r>
                              <w:t>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xbxContent>
                      </wps:txbx>
                      <wps:bodyPr rot="0" vert="horz" wrap="square" lIns="91440" tIns="45720" rIns="91440" bIns="45720" anchor="t" anchorCtr="0">
                        <a:spAutoFit/>
                      </wps:bodyPr>
                    </wps:wsp>
                  </a:graphicData>
                </a:graphic>
              </wp:inline>
            </w:drawing>
          </mc:Choice>
          <mc:Fallback>
            <w:pict>
              <v:shape w14:anchorId="63E0D406" id="文本框 6" o:spid="_x0000_s1033"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" fillcolor="#ffc000">
                <v:fill opacity="11051f"/>
                <v:stroke dashstyle="dash"/>
                <v:textbox style="mso-fit-shape-to-text:t">
                  <w:txbxContent>
                    <w:p w:rsidR="008E16A1" w:rsidRPr="000C7F2D" w:rsidRDefault="008E16A1" w:rsidP="00B92482">
                      <w:pPr>
                        <w:spacing w:after="60"/>
                        <w:rPr>
                          <w:b/>
                          <w:bCs/>
                          <w:lang w:eastAsia="ja-JP"/>
                        </w:rPr>
                      </w:pPr>
                      <w:r>
                        <w:t>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xbxContent>
                </v:textbox>
                <w10:anchorlock/>
              </v:shape>
            </w:pict>
          </mc:Fallback>
        </mc:AlternateContent>
      </w:r>
    </w:p>
    <w:p w:rsidR="000C7F2D" w:rsidRDefault="008E16A1" w:rsidP="00D40785">
      <w:r>
        <w:t>So the whole fall back procedure can be illustrated as Figure 1:</w:t>
      </w:r>
    </w:p>
    <w:p w:rsidR="008E16A1" w:rsidRDefault="002E2F55" w:rsidP="008E16A1">
      <w:pPr>
        <w:jc w:val="center"/>
      </w:pPr>
      <w:r>
        <w:object w:dxaOrig="10791" w:dyaOrig="6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65pt;height:167pt" o:ole="">
            <v:imagedata r:id="rId7" o:title=""/>
          </v:shape>
          <o:OLEObject Type="Embed" ProgID="Visio.Drawing.15" ShapeID="_x0000_i1025" DrawAspect="Content" ObjectID="_1703325304" r:id="rId8"/>
        </w:object>
      </w:r>
    </w:p>
    <w:p w:rsidR="008E16A1" w:rsidRDefault="008E16A1" w:rsidP="008E16A1">
      <w:pPr>
        <w:jc w:val="center"/>
      </w:pPr>
      <w:r>
        <w:t>Figure 1</w:t>
      </w:r>
    </w:p>
    <w:p w:rsidR="008E16A1" w:rsidRPr="008E16A1" w:rsidRDefault="008E16A1" w:rsidP="008E16A1">
      <w:r w:rsidRPr="008E16A1">
        <w:t>We think</w:t>
      </w:r>
      <w:r>
        <w:t xml:space="preserve"> the agreement#9 </w:t>
      </w:r>
      <w:r w:rsidR="00C263F6">
        <w:t xml:space="preserve">can only happen when </w:t>
      </w:r>
      <w:r w:rsidR="002E2F55">
        <w:t xml:space="preserve">there is </w:t>
      </w:r>
      <w:r w:rsidR="00C263F6">
        <w:t xml:space="preserve">only </w:t>
      </w:r>
      <w:r w:rsidR="002E2F55">
        <w:t xml:space="preserve">2-step RACH resource within that RACH partition. </w:t>
      </w:r>
      <w:r w:rsidR="00C263F6">
        <w:t>And this case can be extended in general to all other features.</w:t>
      </w:r>
    </w:p>
    <w:p w:rsidR="008E16A1" w:rsidRPr="003D19A3" w:rsidRDefault="00D80BCD" w:rsidP="008E16A1">
      <w:pPr>
        <w:rPr>
          <w:b/>
        </w:rPr>
      </w:pPr>
      <w:r>
        <w:rPr>
          <w:b/>
        </w:rPr>
        <w:t>Proposal 6</w:t>
      </w:r>
      <w:r w:rsidR="008E16A1">
        <w:rPr>
          <w:b/>
        </w:rPr>
        <w:t>: F</w:t>
      </w:r>
      <w:r w:rsidR="008E16A1" w:rsidRPr="003D19A3">
        <w:rPr>
          <w:b/>
        </w:rPr>
        <w:t>ollowing fallback cases are supported:</w:t>
      </w:r>
    </w:p>
    <w:p w:rsidR="008E16A1" w:rsidRDefault="008E16A1" w:rsidP="008E16A1">
      <w:pPr>
        <w:ind w:leftChars="142" w:left="992" w:hangingChars="354" w:hanging="708"/>
      </w:pPr>
      <w:r>
        <w:t>Case1: Fallback from Rel17 RACH partition specific 2-step RACH to Rel17 RACH part</w:t>
      </w:r>
      <w:r w:rsidR="00C263F6">
        <w:t>ition specific 4-step RACH, if only 2</w:t>
      </w:r>
      <w:r>
        <w:t>-step RACH resource is configured in that partition</w:t>
      </w:r>
    </w:p>
    <w:p w:rsidR="008E16A1" w:rsidRDefault="008E16A1" w:rsidP="008E16A1">
      <w:pPr>
        <w:ind w:leftChars="142" w:left="284"/>
      </w:pPr>
      <w:r>
        <w:lastRenderedPageBreak/>
        <w:t>Case2: Fallback from Rel17 RACH partition specific 2-step RACH to common 4-step RACH,</w:t>
      </w:r>
      <w:r w:rsidRPr="008E16A1">
        <w:t xml:space="preserve"> </w:t>
      </w:r>
      <w:r>
        <w:t xml:space="preserve">if 4-step RACH resource is </w:t>
      </w:r>
      <w:r w:rsidR="00C263F6">
        <w:t xml:space="preserve">also </w:t>
      </w:r>
      <w:r>
        <w:t>configured in that partition</w:t>
      </w:r>
    </w:p>
    <w:p w:rsidR="008E16A1" w:rsidRDefault="008E16A1" w:rsidP="00E72D7F">
      <w:pPr>
        <w:ind w:leftChars="142" w:left="284"/>
      </w:pPr>
      <w:r>
        <w:t xml:space="preserve">Case3: Fallback from common 2-step RACH to common 4-step RACH (legacy one) </w:t>
      </w:r>
    </w:p>
    <w:p w:rsidR="00712C08" w:rsidRDefault="00712C08" w:rsidP="00712C08">
      <w:r>
        <w:t>T</w:t>
      </w:r>
      <w:r>
        <w:rPr>
          <w:rFonts w:hint="eastAsia"/>
        </w:rPr>
        <w:t>here</w:t>
      </w:r>
      <w:r>
        <w:t xml:space="preserve"> is one FFS issue on slicing feature in the draft RRC CR:</w:t>
      </w:r>
    </w:p>
    <w:p w:rsidR="00712C08" w:rsidRDefault="00712C08" w:rsidP="00712C08">
      <w:pPr>
        <w:pStyle w:val="PL"/>
      </w:pPr>
      <w:r>
        <w:tab/>
        <w:t>slicing</w:t>
      </w:r>
      <w:r w:rsidRPr="007512BC">
        <w:t>-r17</w:t>
      </w:r>
      <w:r>
        <w:tab/>
      </w:r>
      <w:r>
        <w:tab/>
      </w:r>
      <w:r>
        <w:tab/>
      </w:r>
      <w:r>
        <w:tab/>
      </w:r>
      <w:r>
        <w:tab/>
      </w:r>
      <w:r>
        <w:tab/>
      </w:r>
      <w:r>
        <w:tab/>
      </w:r>
      <w:r>
        <w:tab/>
        <w:t>ENUMERATED {true}</w:t>
      </w:r>
      <w:r>
        <w:tab/>
      </w:r>
      <w:r>
        <w:rPr>
          <w:color w:val="993366"/>
        </w:rPr>
        <w:t>OPTIONAL,</w:t>
      </w:r>
      <w:r>
        <w:tab/>
      </w:r>
      <w:r w:rsidRPr="00191A62">
        <w:t xml:space="preserve">-- </w:t>
      </w:r>
      <w:r w:rsidRPr="007512BC">
        <w:rPr>
          <w:highlight w:val="yellow"/>
        </w:rPr>
        <w:t>Editor's note: TBD if this should be a multi-bit indication.</w:t>
      </w:r>
    </w:p>
    <w:p w:rsidR="00712C08" w:rsidRDefault="00712C08" w:rsidP="00712C08"/>
    <w:p w:rsidR="00712C08" w:rsidRDefault="00712C08" w:rsidP="00712C08">
      <w:r>
        <w:t xml:space="preserve">Multiple bits means RACH partition is defined per slice group. Single bit means RACH partition associated with slice group covers all slice groups but further partition among slice groups should be discussed separately. The main benefit for single bit approach is the design relevant to slice group will be aligned with other features. Then how to further partition among slice group can be discussed separately. </w:t>
      </w:r>
    </w:p>
    <w:p w:rsidR="00712C08" w:rsidRPr="00F92EB4" w:rsidRDefault="000B2CF6" w:rsidP="00712C08">
      <w:pPr>
        <w:rPr>
          <w:b/>
        </w:rPr>
      </w:pPr>
      <w:r>
        <w:rPr>
          <w:b/>
        </w:rPr>
        <w:t>Proposal 7</w:t>
      </w:r>
      <w:r w:rsidR="00712C08" w:rsidRPr="00F92EB4">
        <w:rPr>
          <w:b/>
        </w:rPr>
        <w:t>: single bit is sufficient for slicing feature. Further partition among slice group</w:t>
      </w:r>
      <w:r w:rsidR="007512BC">
        <w:rPr>
          <w:b/>
        </w:rPr>
        <w:t>s</w:t>
      </w:r>
      <w:r w:rsidR="00712C08" w:rsidRPr="00F92EB4">
        <w:rPr>
          <w:b/>
        </w:rPr>
        <w:t xml:space="preserve"> can be further discussed separately.</w:t>
      </w:r>
    </w:p>
    <w:p w:rsidR="00D40785" w:rsidRDefault="00D40785" w:rsidP="00D40785">
      <w:pPr>
        <w:pStyle w:val="1"/>
      </w:pPr>
      <w:r>
        <w:t>Conclusion</w:t>
      </w:r>
    </w:p>
    <w:p w:rsidR="00D80BCD" w:rsidRPr="005B4CE8" w:rsidRDefault="00D80BCD" w:rsidP="00D80BCD">
      <w:pPr>
        <w:rPr>
          <w:b/>
        </w:rPr>
      </w:pPr>
      <w:r w:rsidRPr="005B4CE8">
        <w:rPr>
          <w:b/>
        </w:rPr>
        <w:t>Observation: UE can’t find right RACH partition when triggered RACH partition for triggered feature/feature combination is not configured.</w:t>
      </w:r>
    </w:p>
    <w:p w:rsidR="00D80BCD" w:rsidRPr="006B70D2" w:rsidRDefault="00D80BCD" w:rsidP="00D80BCD">
      <w:pPr>
        <w:rPr>
          <w:b/>
        </w:rPr>
      </w:pPr>
      <w:r w:rsidRPr="006B70D2">
        <w:rPr>
          <w:b/>
        </w:rPr>
        <w:t xml:space="preserve">Proposal1: UE should choose a RACH partition which associated with the triggered feature or feature combination. </w:t>
      </w:r>
    </w:p>
    <w:p w:rsidR="00D80BCD" w:rsidRPr="006B70D2" w:rsidRDefault="00D80BCD" w:rsidP="00D80BCD">
      <w:pPr>
        <w:rPr>
          <w:b/>
        </w:rPr>
      </w:pPr>
      <w:r w:rsidRPr="006B70D2">
        <w:rPr>
          <w:b/>
        </w:rPr>
        <w:t>Proposal1a: if UE can’t find the RACH partition matching its triggered feature or feature combination, UE is allowed to choose any RACH partition matching sub-set of its triggered feature or feature combination. How to pick is up to UE’s implementation</w:t>
      </w:r>
    </w:p>
    <w:p w:rsidR="00D80BCD" w:rsidRPr="006B70D2" w:rsidRDefault="00D80BCD" w:rsidP="00D80BCD">
      <w:pPr>
        <w:rPr>
          <w:b/>
        </w:rPr>
      </w:pPr>
      <w:r w:rsidRPr="006B70D2">
        <w:rPr>
          <w:b/>
        </w:rPr>
        <w:t>Proposal1b: if UE can’t find any RACH partition based on proposal1/1a, UE choose legacy RACH resource.</w:t>
      </w:r>
    </w:p>
    <w:p w:rsidR="00D80BCD" w:rsidRPr="008E168A" w:rsidRDefault="00D80BCD" w:rsidP="00D80BCD">
      <w:pPr>
        <w:rPr>
          <w:b/>
        </w:rPr>
      </w:pPr>
      <w:r w:rsidRPr="008E168A">
        <w:rPr>
          <w:b/>
        </w:rPr>
        <w:t>Proposal2: carrier selection RSRP threshold, if any, should be configured as per feature parameter</w:t>
      </w:r>
    </w:p>
    <w:p w:rsidR="00D80BCD" w:rsidRPr="008E168A" w:rsidRDefault="00D80BCD" w:rsidP="00D80BCD">
      <w:pPr>
        <w:rPr>
          <w:b/>
        </w:rPr>
      </w:pPr>
      <w:r w:rsidRPr="008E168A">
        <w:rPr>
          <w:b/>
        </w:rPr>
        <w:t>Proposal3: In section 5.1.1, rsrp-ThresholdSSB-SUL= maximum (common RSRP threshold, SDT specific RSRP threshold (if triggered),other feature specific RSRP threshold (if triggered),…)</w:t>
      </w:r>
    </w:p>
    <w:p w:rsidR="00D80BCD" w:rsidRPr="0035207C" w:rsidRDefault="00D80BCD" w:rsidP="00D80BCD">
      <w:pPr>
        <w:rPr>
          <w:b/>
        </w:rPr>
      </w:pPr>
      <w:r w:rsidRPr="0035207C">
        <w:rPr>
          <w:b/>
        </w:rPr>
        <w:t xml:space="preserve">Propsoal4: UE selects BWP </w:t>
      </w:r>
      <w:r>
        <w:rPr>
          <w:b/>
        </w:rPr>
        <w:t>before</w:t>
      </w:r>
      <w:r w:rsidRPr="0035207C">
        <w:rPr>
          <w:b/>
        </w:rPr>
        <w:t xml:space="preserve"> considering any triggered feature/feature combination</w:t>
      </w:r>
      <w:r>
        <w:rPr>
          <w:b/>
        </w:rPr>
        <w:t xml:space="preserve"> apart from Redcap feature, which relevant behaviour can be captured in section 5.15 of MAC spec.</w:t>
      </w:r>
    </w:p>
    <w:p w:rsidR="00D80BCD" w:rsidRPr="00BD7006" w:rsidRDefault="00D80BCD" w:rsidP="00D80BCD">
      <w:pPr>
        <w:rPr>
          <w:b/>
        </w:rPr>
      </w:pPr>
      <w:r w:rsidRPr="00BD7006">
        <w:rPr>
          <w:b/>
        </w:rPr>
        <w:t>Proposal5: No further enhancement on RA-RNTI calculation is needed and it could be left for network’s implementation.</w:t>
      </w:r>
    </w:p>
    <w:p w:rsidR="000B2CF6" w:rsidRPr="003D19A3" w:rsidRDefault="000B2CF6" w:rsidP="000B2CF6">
      <w:pPr>
        <w:rPr>
          <w:b/>
        </w:rPr>
      </w:pPr>
      <w:r>
        <w:rPr>
          <w:b/>
        </w:rPr>
        <w:t>Proposal 6: F</w:t>
      </w:r>
      <w:r w:rsidRPr="003D19A3">
        <w:rPr>
          <w:b/>
        </w:rPr>
        <w:t>ollowing fallback cases are supported:</w:t>
      </w:r>
    </w:p>
    <w:p w:rsidR="000B2CF6" w:rsidRDefault="000B2CF6" w:rsidP="000B2CF6">
      <w:pPr>
        <w:ind w:leftChars="142" w:left="992" w:hangingChars="354" w:hanging="708"/>
      </w:pPr>
      <w:r>
        <w:t>Case1: Fallback from Rel17 RACH partition specific 2-step RACH to Rel17 RACH partition specific 4-step RACH, if only 2-step RACH resource is configured in that partition</w:t>
      </w:r>
    </w:p>
    <w:p w:rsidR="000B2CF6" w:rsidRDefault="000B2CF6" w:rsidP="000B2CF6">
      <w:pPr>
        <w:ind w:leftChars="142" w:left="284"/>
      </w:pPr>
      <w:r>
        <w:t>Case2: Fallback from Rel17 RACH partition specific 2-step RACH to common 4-step RACH,</w:t>
      </w:r>
      <w:r w:rsidRPr="008E16A1">
        <w:t xml:space="preserve"> </w:t>
      </w:r>
      <w:r>
        <w:t>if 4-step RACH resource is also configured in that partition</w:t>
      </w:r>
    </w:p>
    <w:p w:rsidR="000B2CF6" w:rsidRDefault="000B2CF6" w:rsidP="000B2CF6">
      <w:pPr>
        <w:ind w:leftChars="142" w:left="284"/>
      </w:pPr>
      <w:r>
        <w:t xml:space="preserve">Case3: Fallback from common 2-step RACH to common 4-step RACH (legacy one) </w:t>
      </w:r>
    </w:p>
    <w:p w:rsidR="00D40785" w:rsidRPr="00CA6DF0" w:rsidRDefault="00CA6DF0" w:rsidP="00D40785">
      <w:pPr>
        <w:rPr>
          <w:b/>
        </w:rPr>
      </w:pPr>
      <w:r>
        <w:rPr>
          <w:b/>
        </w:rPr>
        <w:t>Proposal 7</w:t>
      </w:r>
      <w:r w:rsidRPr="00F92EB4">
        <w:rPr>
          <w:b/>
        </w:rPr>
        <w:t>: single bit is sufficient for slicing feature. Further partition among slice group</w:t>
      </w:r>
      <w:r>
        <w:rPr>
          <w:b/>
        </w:rPr>
        <w:t>s</w:t>
      </w:r>
      <w:r w:rsidRPr="00F92EB4">
        <w:rPr>
          <w:b/>
        </w:rPr>
        <w:t xml:space="preserve"> can be further discussed separately.</w:t>
      </w:r>
    </w:p>
    <w:p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8874AD" w:rsidRDefault="000979DD" w:rsidP="008874AD">
      <w:r>
        <w:rPr>
          <w:rFonts w:hint="eastAsia"/>
        </w:rPr>
        <w:t>[</w:t>
      </w:r>
      <w:r>
        <w:t xml:space="preserve">1] </w:t>
      </w:r>
      <w:r w:rsidRPr="000979DD">
        <w:t>R2-2200261 RRC aspects of RACH partition</w:t>
      </w:r>
    </w:p>
    <w:p w:rsidR="000979DD" w:rsidRDefault="000979DD" w:rsidP="008874AD">
      <w:r>
        <w:t xml:space="preserve">[2] R2-2106643 </w:t>
      </w:r>
      <w:r w:rsidR="0053431F" w:rsidRPr="0053431F">
        <w:t>Report of [Post113bis-e][507][SDT] Resource configuration aspects</w:t>
      </w:r>
    </w:p>
    <w:p w:rsidR="007512BC" w:rsidRPr="008874AD" w:rsidRDefault="007512BC" w:rsidP="008874AD">
      <w:r>
        <w:t xml:space="preserve">[3] </w:t>
      </w:r>
      <w:r w:rsidRPr="001F3B36">
        <w:t>R1-2102125</w:t>
      </w:r>
      <w:r>
        <w:t xml:space="preserve"> </w:t>
      </w:r>
      <w:r w:rsidRPr="007C54F7">
        <w:rPr>
          <w:rFonts w:cs="Arial"/>
          <w:color w:val="000000"/>
        </w:rPr>
        <w:t xml:space="preserve">Reply </w:t>
      </w:r>
      <w:r w:rsidRPr="00610ACE">
        <w:rPr>
          <w:rFonts w:cs="Arial"/>
          <w:bCs/>
          <w:color w:val="000000"/>
        </w:rPr>
        <w:t xml:space="preserve">LS </w:t>
      </w:r>
      <w:r w:rsidRPr="00610ACE">
        <w:rPr>
          <w:rFonts w:cs="Arial"/>
        </w:rPr>
        <w:t xml:space="preserve">on </w:t>
      </w:r>
      <w:r w:rsidRPr="00610ACE">
        <w:rPr>
          <w:rFonts w:cs="Arial"/>
          <w:bCs/>
        </w:rPr>
        <w:t>physical layer aspects of small data transmission</w:t>
      </w:r>
    </w:p>
    <w:p w:rsidR="001D0199" w:rsidRDefault="001D0199" w:rsidP="008874AD"/>
    <w:sectPr w:rsidR="001D0199">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7A" w:rsidRDefault="00522F7A" w:rsidP="00536369">
      <w:pPr>
        <w:spacing w:after="0"/>
      </w:pPr>
      <w:r>
        <w:separator/>
      </w:r>
    </w:p>
  </w:endnote>
  <w:endnote w:type="continuationSeparator" w:id="0">
    <w:p w:rsidR="00522F7A" w:rsidRDefault="00522F7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Arial Unicode MS"/>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6A1" w:rsidRDefault="008E16A1">
    <w:pPr>
      <w:pStyle w:val="a6"/>
      <w:tabs>
        <w:tab w:val="center" w:pos="4820"/>
        <w:tab w:val="right" w:pos="9639"/>
      </w:tabs>
      <w:jc w:val="left"/>
    </w:pPr>
    <w:r>
      <w:tab/>
    </w:r>
    <w:r>
      <w:fldChar w:fldCharType="begin"/>
    </w:r>
    <w:r>
      <w:rPr>
        <w:rStyle w:val="a4"/>
      </w:rPr>
      <w:instrText xml:space="preserve"> PAGE </w:instrText>
    </w:r>
    <w:r>
      <w:fldChar w:fldCharType="separate"/>
    </w:r>
    <w:r w:rsidR="006C6F96">
      <w:rPr>
        <w:rStyle w:val="a4"/>
        <w:noProof/>
      </w:rPr>
      <w:t>1</w:t>
    </w:r>
    <w:r>
      <w:fldChar w:fldCharType="end"/>
    </w:r>
    <w:r>
      <w:rPr>
        <w:rStyle w:val="a4"/>
      </w:rPr>
      <w:t>/</w:t>
    </w:r>
    <w:r>
      <w:fldChar w:fldCharType="begin"/>
    </w:r>
    <w:r>
      <w:rPr>
        <w:rStyle w:val="a4"/>
      </w:rPr>
      <w:instrText xml:space="preserve"> NUMPAGES </w:instrText>
    </w:r>
    <w:r>
      <w:fldChar w:fldCharType="separate"/>
    </w:r>
    <w:r w:rsidR="006C6F96">
      <w:rPr>
        <w:rStyle w:val="a4"/>
        <w:noProof/>
      </w:rPr>
      <w:t>4</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7A" w:rsidRDefault="00522F7A" w:rsidP="00536369">
      <w:pPr>
        <w:spacing w:after="0"/>
      </w:pPr>
      <w:r>
        <w:separator/>
      </w:r>
    </w:p>
  </w:footnote>
  <w:footnote w:type="continuationSeparator" w:id="0">
    <w:p w:rsidR="00522F7A" w:rsidRDefault="00522F7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47518"/>
    <w:multiLevelType w:val="multilevel"/>
    <w:tmpl w:val="0FD47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
  </w:num>
  <w:num w:numId="3">
    <w:abstractNumId w:val="15"/>
  </w:num>
  <w:num w:numId="4">
    <w:abstractNumId w:val="14"/>
  </w:num>
  <w:num w:numId="5">
    <w:abstractNumId w:val="8"/>
  </w:num>
  <w:num w:numId="6">
    <w:abstractNumId w:val="1"/>
  </w:num>
  <w:num w:numId="7">
    <w:abstractNumId w:val="0"/>
  </w:num>
  <w:num w:numId="8">
    <w:abstractNumId w:val="0"/>
  </w:num>
  <w:num w:numId="9">
    <w:abstractNumId w:val="0"/>
  </w:num>
  <w:num w:numId="10">
    <w:abstractNumId w:val="0"/>
  </w:num>
  <w:num w:numId="11">
    <w:abstractNumId w:val="12"/>
  </w:num>
  <w:num w:numId="12">
    <w:abstractNumId w:val="13"/>
  </w:num>
  <w:num w:numId="13">
    <w:abstractNumId w:val="18"/>
  </w:num>
  <w:num w:numId="14">
    <w:abstractNumId w:val="6"/>
  </w:num>
  <w:num w:numId="15">
    <w:abstractNumId w:val="7"/>
  </w:num>
  <w:num w:numId="16">
    <w:abstractNumId w:val="11"/>
  </w:num>
  <w:num w:numId="17">
    <w:abstractNumId w:val="4"/>
  </w:num>
  <w:num w:numId="18">
    <w:abstractNumId w:val="10"/>
  </w:num>
  <w:num w:numId="19">
    <w:abstractNumId w:val="5"/>
  </w:num>
  <w:num w:numId="20">
    <w:abstractNumId w:val="17"/>
  </w:num>
  <w:num w:numId="21">
    <w:abstractNumId w:val="16"/>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44B"/>
    <w:rsid w:val="00003B6D"/>
    <w:rsid w:val="000067C2"/>
    <w:rsid w:val="00012FBC"/>
    <w:rsid w:val="000231F4"/>
    <w:rsid w:val="000232D7"/>
    <w:rsid w:val="00032C70"/>
    <w:rsid w:val="0004654C"/>
    <w:rsid w:val="00047FCB"/>
    <w:rsid w:val="00050304"/>
    <w:rsid w:val="00055F2B"/>
    <w:rsid w:val="0005623C"/>
    <w:rsid w:val="00073191"/>
    <w:rsid w:val="00074E88"/>
    <w:rsid w:val="0008018C"/>
    <w:rsid w:val="000808F0"/>
    <w:rsid w:val="0008143B"/>
    <w:rsid w:val="000831A2"/>
    <w:rsid w:val="000979DD"/>
    <w:rsid w:val="000A064F"/>
    <w:rsid w:val="000B2CF6"/>
    <w:rsid w:val="000B361C"/>
    <w:rsid w:val="000B5C7C"/>
    <w:rsid w:val="000C30EA"/>
    <w:rsid w:val="000C4CE6"/>
    <w:rsid w:val="000C7F2D"/>
    <w:rsid w:val="000D5F82"/>
    <w:rsid w:val="000F219D"/>
    <w:rsid w:val="00105717"/>
    <w:rsid w:val="001169EB"/>
    <w:rsid w:val="00121393"/>
    <w:rsid w:val="001228B8"/>
    <w:rsid w:val="001235B5"/>
    <w:rsid w:val="001239DB"/>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B36"/>
    <w:rsid w:val="001F3D78"/>
    <w:rsid w:val="001F40C6"/>
    <w:rsid w:val="00201049"/>
    <w:rsid w:val="0020115F"/>
    <w:rsid w:val="00201570"/>
    <w:rsid w:val="00201A66"/>
    <w:rsid w:val="00207241"/>
    <w:rsid w:val="00210CD6"/>
    <w:rsid w:val="00223B76"/>
    <w:rsid w:val="00223DC6"/>
    <w:rsid w:val="00226DED"/>
    <w:rsid w:val="00227822"/>
    <w:rsid w:val="00237EAA"/>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327A"/>
    <w:rsid w:val="002D3DBB"/>
    <w:rsid w:val="002D5158"/>
    <w:rsid w:val="002E09E6"/>
    <w:rsid w:val="002E2528"/>
    <w:rsid w:val="002E2F55"/>
    <w:rsid w:val="002F64DA"/>
    <w:rsid w:val="002F728A"/>
    <w:rsid w:val="00301FF2"/>
    <w:rsid w:val="003044D4"/>
    <w:rsid w:val="003102C5"/>
    <w:rsid w:val="00311FBF"/>
    <w:rsid w:val="0031620E"/>
    <w:rsid w:val="003162C9"/>
    <w:rsid w:val="003173B5"/>
    <w:rsid w:val="00320C4F"/>
    <w:rsid w:val="00323052"/>
    <w:rsid w:val="003245E8"/>
    <w:rsid w:val="0032564B"/>
    <w:rsid w:val="003276EA"/>
    <w:rsid w:val="00344733"/>
    <w:rsid w:val="00345130"/>
    <w:rsid w:val="0035207C"/>
    <w:rsid w:val="00360626"/>
    <w:rsid w:val="0036136C"/>
    <w:rsid w:val="00361911"/>
    <w:rsid w:val="0036282A"/>
    <w:rsid w:val="00365EAB"/>
    <w:rsid w:val="0037328E"/>
    <w:rsid w:val="00373522"/>
    <w:rsid w:val="00373F98"/>
    <w:rsid w:val="00374CD8"/>
    <w:rsid w:val="003761FB"/>
    <w:rsid w:val="00380025"/>
    <w:rsid w:val="0038352A"/>
    <w:rsid w:val="00383F0C"/>
    <w:rsid w:val="003861C4"/>
    <w:rsid w:val="00395F05"/>
    <w:rsid w:val="00397842"/>
    <w:rsid w:val="003A05C0"/>
    <w:rsid w:val="003B298B"/>
    <w:rsid w:val="003B51C5"/>
    <w:rsid w:val="003D09D1"/>
    <w:rsid w:val="003D43B2"/>
    <w:rsid w:val="003D5447"/>
    <w:rsid w:val="003E138E"/>
    <w:rsid w:val="003E4A07"/>
    <w:rsid w:val="003F2CDF"/>
    <w:rsid w:val="00401053"/>
    <w:rsid w:val="004019D0"/>
    <w:rsid w:val="004039DA"/>
    <w:rsid w:val="00415EEF"/>
    <w:rsid w:val="00421DC9"/>
    <w:rsid w:val="00424078"/>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91647"/>
    <w:rsid w:val="00497525"/>
    <w:rsid w:val="004A041D"/>
    <w:rsid w:val="004A0D2B"/>
    <w:rsid w:val="004A18F4"/>
    <w:rsid w:val="004A5980"/>
    <w:rsid w:val="004A5EE0"/>
    <w:rsid w:val="004B03D5"/>
    <w:rsid w:val="004B4928"/>
    <w:rsid w:val="004C029E"/>
    <w:rsid w:val="004C15DD"/>
    <w:rsid w:val="004C5D98"/>
    <w:rsid w:val="004C7961"/>
    <w:rsid w:val="004D1C84"/>
    <w:rsid w:val="004D7404"/>
    <w:rsid w:val="004E6AB4"/>
    <w:rsid w:val="004F2442"/>
    <w:rsid w:val="00501B4C"/>
    <w:rsid w:val="005044C4"/>
    <w:rsid w:val="0051619D"/>
    <w:rsid w:val="00522F7A"/>
    <w:rsid w:val="00523B29"/>
    <w:rsid w:val="0053013A"/>
    <w:rsid w:val="0053431F"/>
    <w:rsid w:val="00536369"/>
    <w:rsid w:val="005369BF"/>
    <w:rsid w:val="00536EEA"/>
    <w:rsid w:val="0053718F"/>
    <w:rsid w:val="00550170"/>
    <w:rsid w:val="005558CC"/>
    <w:rsid w:val="005601F5"/>
    <w:rsid w:val="005673F9"/>
    <w:rsid w:val="0057027A"/>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4CE8"/>
    <w:rsid w:val="005B53DF"/>
    <w:rsid w:val="005B64AD"/>
    <w:rsid w:val="005C3150"/>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66B74"/>
    <w:rsid w:val="0067045D"/>
    <w:rsid w:val="00671259"/>
    <w:rsid w:val="00683E7D"/>
    <w:rsid w:val="00685F2C"/>
    <w:rsid w:val="00692170"/>
    <w:rsid w:val="0069338B"/>
    <w:rsid w:val="00696B26"/>
    <w:rsid w:val="0069744B"/>
    <w:rsid w:val="006B33F3"/>
    <w:rsid w:val="006B3705"/>
    <w:rsid w:val="006B6AEF"/>
    <w:rsid w:val="006B70D2"/>
    <w:rsid w:val="006C48B4"/>
    <w:rsid w:val="006C4B5B"/>
    <w:rsid w:val="006C6F96"/>
    <w:rsid w:val="006D1861"/>
    <w:rsid w:val="006D45B3"/>
    <w:rsid w:val="006D594F"/>
    <w:rsid w:val="006D77A2"/>
    <w:rsid w:val="006E27C5"/>
    <w:rsid w:val="006F66A5"/>
    <w:rsid w:val="00700C13"/>
    <w:rsid w:val="00700F74"/>
    <w:rsid w:val="007018C7"/>
    <w:rsid w:val="00703427"/>
    <w:rsid w:val="00712C08"/>
    <w:rsid w:val="00713D41"/>
    <w:rsid w:val="00714B99"/>
    <w:rsid w:val="007153A0"/>
    <w:rsid w:val="007177E6"/>
    <w:rsid w:val="007233A6"/>
    <w:rsid w:val="0073794B"/>
    <w:rsid w:val="00744B6A"/>
    <w:rsid w:val="00746794"/>
    <w:rsid w:val="00747643"/>
    <w:rsid w:val="007512BC"/>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17399"/>
    <w:rsid w:val="00823BA5"/>
    <w:rsid w:val="00827887"/>
    <w:rsid w:val="00843ECA"/>
    <w:rsid w:val="00847D9C"/>
    <w:rsid w:val="00853E8C"/>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4755"/>
    <w:rsid w:val="008D17D0"/>
    <w:rsid w:val="008D38C6"/>
    <w:rsid w:val="008D4974"/>
    <w:rsid w:val="008D79F4"/>
    <w:rsid w:val="008E168A"/>
    <w:rsid w:val="008E16A1"/>
    <w:rsid w:val="008F03B0"/>
    <w:rsid w:val="008F4AB0"/>
    <w:rsid w:val="008F593B"/>
    <w:rsid w:val="00911F4E"/>
    <w:rsid w:val="00914AD2"/>
    <w:rsid w:val="00914DB6"/>
    <w:rsid w:val="00921A89"/>
    <w:rsid w:val="00923240"/>
    <w:rsid w:val="00927854"/>
    <w:rsid w:val="009301FB"/>
    <w:rsid w:val="0093287B"/>
    <w:rsid w:val="00937407"/>
    <w:rsid w:val="0094549A"/>
    <w:rsid w:val="00946283"/>
    <w:rsid w:val="009512BD"/>
    <w:rsid w:val="00961A7E"/>
    <w:rsid w:val="00964FF5"/>
    <w:rsid w:val="009655D7"/>
    <w:rsid w:val="00966B3D"/>
    <w:rsid w:val="00984C24"/>
    <w:rsid w:val="009850AA"/>
    <w:rsid w:val="00987F60"/>
    <w:rsid w:val="00990386"/>
    <w:rsid w:val="009A4569"/>
    <w:rsid w:val="009B1219"/>
    <w:rsid w:val="009B28FF"/>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81642"/>
    <w:rsid w:val="00A84083"/>
    <w:rsid w:val="00A84A20"/>
    <w:rsid w:val="00A87787"/>
    <w:rsid w:val="00A87CC9"/>
    <w:rsid w:val="00AA2599"/>
    <w:rsid w:val="00AB00F4"/>
    <w:rsid w:val="00AB2ED7"/>
    <w:rsid w:val="00AB6603"/>
    <w:rsid w:val="00AC214E"/>
    <w:rsid w:val="00AC3255"/>
    <w:rsid w:val="00AD2DEA"/>
    <w:rsid w:val="00AD487A"/>
    <w:rsid w:val="00AD5C79"/>
    <w:rsid w:val="00AE1AB8"/>
    <w:rsid w:val="00AE6A40"/>
    <w:rsid w:val="00AF5FB1"/>
    <w:rsid w:val="00AF6DFC"/>
    <w:rsid w:val="00B02565"/>
    <w:rsid w:val="00B0351C"/>
    <w:rsid w:val="00B10781"/>
    <w:rsid w:val="00B16459"/>
    <w:rsid w:val="00B20B4F"/>
    <w:rsid w:val="00B219C4"/>
    <w:rsid w:val="00B23681"/>
    <w:rsid w:val="00B26FCB"/>
    <w:rsid w:val="00B33044"/>
    <w:rsid w:val="00B4326D"/>
    <w:rsid w:val="00B44B69"/>
    <w:rsid w:val="00B44E69"/>
    <w:rsid w:val="00B501E4"/>
    <w:rsid w:val="00B533AD"/>
    <w:rsid w:val="00B64AEB"/>
    <w:rsid w:val="00B84570"/>
    <w:rsid w:val="00B8711F"/>
    <w:rsid w:val="00B92482"/>
    <w:rsid w:val="00B963BA"/>
    <w:rsid w:val="00B96A83"/>
    <w:rsid w:val="00BA34BA"/>
    <w:rsid w:val="00BA49CC"/>
    <w:rsid w:val="00BA7922"/>
    <w:rsid w:val="00BB26D1"/>
    <w:rsid w:val="00BB6F54"/>
    <w:rsid w:val="00BC3934"/>
    <w:rsid w:val="00BC6F2B"/>
    <w:rsid w:val="00BC7D81"/>
    <w:rsid w:val="00BD1492"/>
    <w:rsid w:val="00BD7006"/>
    <w:rsid w:val="00BE6623"/>
    <w:rsid w:val="00BF6905"/>
    <w:rsid w:val="00BF7B57"/>
    <w:rsid w:val="00C02F21"/>
    <w:rsid w:val="00C06A62"/>
    <w:rsid w:val="00C07C6E"/>
    <w:rsid w:val="00C13A20"/>
    <w:rsid w:val="00C263F6"/>
    <w:rsid w:val="00C34E9C"/>
    <w:rsid w:val="00C42EEF"/>
    <w:rsid w:val="00C4348A"/>
    <w:rsid w:val="00C46405"/>
    <w:rsid w:val="00C73FD8"/>
    <w:rsid w:val="00C81E52"/>
    <w:rsid w:val="00CA2474"/>
    <w:rsid w:val="00CA64FE"/>
    <w:rsid w:val="00CA6DF0"/>
    <w:rsid w:val="00CB4EF7"/>
    <w:rsid w:val="00CC1FEB"/>
    <w:rsid w:val="00CC6F53"/>
    <w:rsid w:val="00CD0AE4"/>
    <w:rsid w:val="00CE52F9"/>
    <w:rsid w:val="00CF7149"/>
    <w:rsid w:val="00D0151A"/>
    <w:rsid w:val="00D1021E"/>
    <w:rsid w:val="00D128D1"/>
    <w:rsid w:val="00D13EB7"/>
    <w:rsid w:val="00D15DBB"/>
    <w:rsid w:val="00D26359"/>
    <w:rsid w:val="00D32F46"/>
    <w:rsid w:val="00D36511"/>
    <w:rsid w:val="00D40785"/>
    <w:rsid w:val="00D45AC2"/>
    <w:rsid w:val="00D532E4"/>
    <w:rsid w:val="00D57179"/>
    <w:rsid w:val="00D70E49"/>
    <w:rsid w:val="00D7254B"/>
    <w:rsid w:val="00D772E8"/>
    <w:rsid w:val="00D7782A"/>
    <w:rsid w:val="00D80BCD"/>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D04AB"/>
    <w:rsid w:val="00DD7488"/>
    <w:rsid w:val="00DE57A7"/>
    <w:rsid w:val="00DF008E"/>
    <w:rsid w:val="00E02A6A"/>
    <w:rsid w:val="00E03297"/>
    <w:rsid w:val="00E03A01"/>
    <w:rsid w:val="00E04E09"/>
    <w:rsid w:val="00E1016C"/>
    <w:rsid w:val="00E124BC"/>
    <w:rsid w:val="00E17689"/>
    <w:rsid w:val="00E25EF6"/>
    <w:rsid w:val="00E31739"/>
    <w:rsid w:val="00E3280B"/>
    <w:rsid w:val="00E47B6A"/>
    <w:rsid w:val="00E56E2C"/>
    <w:rsid w:val="00E637B5"/>
    <w:rsid w:val="00E66A8B"/>
    <w:rsid w:val="00E718BF"/>
    <w:rsid w:val="00E72D7F"/>
    <w:rsid w:val="00E76CFA"/>
    <w:rsid w:val="00E77C74"/>
    <w:rsid w:val="00E82E42"/>
    <w:rsid w:val="00E9096D"/>
    <w:rsid w:val="00E90F6D"/>
    <w:rsid w:val="00E94896"/>
    <w:rsid w:val="00E94A61"/>
    <w:rsid w:val="00E959CD"/>
    <w:rsid w:val="00EA1A04"/>
    <w:rsid w:val="00EA2EDD"/>
    <w:rsid w:val="00EB11AC"/>
    <w:rsid w:val="00EB2238"/>
    <w:rsid w:val="00EB2F12"/>
    <w:rsid w:val="00EB4411"/>
    <w:rsid w:val="00EB57AF"/>
    <w:rsid w:val="00EC1806"/>
    <w:rsid w:val="00EC351B"/>
    <w:rsid w:val="00EC75E5"/>
    <w:rsid w:val="00ED28FF"/>
    <w:rsid w:val="00ED5609"/>
    <w:rsid w:val="00EE503D"/>
    <w:rsid w:val="00EF2986"/>
    <w:rsid w:val="00EF44D5"/>
    <w:rsid w:val="00F00B7A"/>
    <w:rsid w:val="00F02A3A"/>
    <w:rsid w:val="00F12860"/>
    <w:rsid w:val="00F23D24"/>
    <w:rsid w:val="00F24A70"/>
    <w:rsid w:val="00F42B7A"/>
    <w:rsid w:val="00F50C94"/>
    <w:rsid w:val="00F539BD"/>
    <w:rsid w:val="00F6094E"/>
    <w:rsid w:val="00F62C40"/>
    <w:rsid w:val="00F64076"/>
    <w:rsid w:val="00F64474"/>
    <w:rsid w:val="00F67996"/>
    <w:rsid w:val="00F7525E"/>
    <w:rsid w:val="00F76BB2"/>
    <w:rsid w:val="00F868A6"/>
    <w:rsid w:val="00F9130F"/>
    <w:rsid w:val="00F92390"/>
    <w:rsid w:val="00F92EB4"/>
    <w:rsid w:val="00F94ED9"/>
    <w:rsid w:val="00F973DD"/>
    <w:rsid w:val="00FA0E28"/>
    <w:rsid w:val="00FA1042"/>
    <w:rsid w:val="00FA4BB5"/>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5B7A5"/>
  <w15:chartTrackingRefBased/>
  <w15:docId w15:val="{286E5B7D-F95E-4C79-B308-1E43B20B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PL">
    <w:name w:val="PL"/>
    <w:link w:val="PLChar"/>
    <w:qFormat/>
    <w:rsid w:val="00712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rsid w:val="00712C08"/>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919</TotalTime>
  <Pages>4</Pages>
  <Words>1437</Words>
  <Characters>8191</Characters>
  <Application>Microsoft Office Word</Application>
  <DocSecurity>0</DocSecurity>
  <Lines>68</Lines>
  <Paragraphs>19</Paragraphs>
  <ScaleCrop>false</ScaleCrop>
  <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43</cp:revision>
  <dcterms:created xsi:type="dcterms:W3CDTF">2022-01-04T11:44:00Z</dcterms:created>
  <dcterms:modified xsi:type="dcterms:W3CDTF">2022-01-10T05:09:00Z</dcterms:modified>
</cp:coreProperties>
</file>